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9638"/>
      </w:tblGrid>
      <w:tr w:rsidR="00B04AF0" w:rsidTr="00436C2B">
        <w:trPr>
          <w:cantSplit/>
        </w:trPr>
        <w:tc>
          <w:tcPr>
            <w:tcW w:w="9638" w:type="dxa"/>
          </w:tcPr>
          <w:p w:rsidR="00B04AF0" w:rsidRDefault="00B04AF0" w:rsidP="00436C2B">
            <w:pPr>
              <w:jc w:val="both"/>
            </w:pPr>
            <w:r>
              <w:rPr>
                <w:noProof/>
              </w:rPr>
              <w:drawing>
                <wp:inline distT="0" distB="0" distL="0" distR="0">
                  <wp:extent cx="5362575" cy="7239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2575" cy="723900"/>
                          </a:xfrm>
                          <a:prstGeom prst="rect">
                            <a:avLst/>
                          </a:prstGeom>
                          <a:noFill/>
                          <a:ln>
                            <a:noFill/>
                          </a:ln>
                        </pic:spPr>
                      </pic:pic>
                    </a:graphicData>
                  </a:graphic>
                </wp:inline>
              </w:drawing>
            </w:r>
          </w:p>
        </w:tc>
      </w:tr>
    </w:tbl>
    <w:p w:rsidR="00B04AF0" w:rsidRPr="00B04AF0" w:rsidRDefault="00B04AF0" w:rsidP="00B04AF0">
      <w:pPr>
        <w:jc w:val="center"/>
        <w:rPr>
          <w:sz w:val="24"/>
          <w:szCs w:val="24"/>
        </w:rPr>
      </w:pPr>
      <w:r w:rsidRPr="00B04AF0">
        <w:rPr>
          <w:sz w:val="24"/>
          <w:szCs w:val="24"/>
        </w:rPr>
        <w:t>Via Moschini,</w:t>
      </w:r>
      <w:r>
        <w:rPr>
          <w:sz w:val="24"/>
          <w:szCs w:val="24"/>
        </w:rPr>
        <w:t xml:space="preserve"> </w:t>
      </w:r>
      <w:r w:rsidRPr="00B04AF0">
        <w:rPr>
          <w:sz w:val="24"/>
          <w:szCs w:val="24"/>
        </w:rPr>
        <w:t>16 - 29010 Pontenure   - tel. 0523/692040 -  Fax 510142</w:t>
      </w:r>
    </w:p>
    <w:p w:rsidR="00B04AF0" w:rsidRDefault="00B04AF0" w:rsidP="00B04AF0">
      <w:pPr>
        <w:jc w:val="both"/>
        <w:rPr>
          <w:sz w:val="28"/>
        </w:rPr>
      </w:pPr>
    </w:p>
    <w:p w:rsidR="00B04AF0" w:rsidRDefault="00B04AF0" w:rsidP="00B04AF0">
      <w:pPr>
        <w:rPr>
          <w:sz w:val="26"/>
        </w:rPr>
      </w:pPr>
    </w:p>
    <w:p w:rsidR="00B04AF0" w:rsidRPr="0057275C" w:rsidRDefault="0057275C" w:rsidP="00B04AF0">
      <w:pPr>
        <w:jc w:val="center"/>
        <w:rPr>
          <w:b/>
          <w:sz w:val="56"/>
          <w:szCs w:val="56"/>
          <w:u w:val="single"/>
        </w:rPr>
      </w:pPr>
      <w:r w:rsidRPr="0057275C">
        <w:rPr>
          <w:b/>
          <w:sz w:val="56"/>
          <w:szCs w:val="56"/>
          <w:u w:val="single"/>
        </w:rPr>
        <w:t>AVVISO</w:t>
      </w:r>
    </w:p>
    <w:p w:rsidR="0057275C" w:rsidRPr="0057275C" w:rsidRDefault="0057275C" w:rsidP="00B04AF0">
      <w:pPr>
        <w:jc w:val="center"/>
        <w:rPr>
          <w:b/>
          <w:sz w:val="40"/>
          <w:szCs w:val="40"/>
          <w:u w:val="single"/>
        </w:rPr>
      </w:pPr>
      <w:r w:rsidRPr="0057275C">
        <w:rPr>
          <w:b/>
          <w:sz w:val="40"/>
          <w:szCs w:val="40"/>
          <w:u w:val="single"/>
        </w:rPr>
        <w:t>PER GLI UTENTI DEL SERVIZIO DI MENSA SCOLASTICA</w:t>
      </w:r>
    </w:p>
    <w:p w:rsidR="00B04AF0" w:rsidRDefault="00B04AF0" w:rsidP="00B04AF0">
      <w:pPr>
        <w:jc w:val="center"/>
        <w:rPr>
          <w:b/>
          <w:sz w:val="28"/>
          <w:szCs w:val="28"/>
          <w:u w:val="single"/>
        </w:rPr>
      </w:pPr>
    </w:p>
    <w:p w:rsidR="0057275C" w:rsidRDefault="0057275C" w:rsidP="00B04AF0">
      <w:pPr>
        <w:jc w:val="center"/>
        <w:rPr>
          <w:b/>
          <w:sz w:val="28"/>
          <w:szCs w:val="28"/>
          <w:u w:val="single"/>
        </w:rPr>
      </w:pPr>
    </w:p>
    <w:p w:rsidR="0057275C" w:rsidRDefault="0057275C" w:rsidP="00B04AF0">
      <w:pPr>
        <w:jc w:val="center"/>
        <w:rPr>
          <w:b/>
          <w:sz w:val="28"/>
          <w:szCs w:val="28"/>
          <w:u w:val="single"/>
        </w:rPr>
      </w:pPr>
    </w:p>
    <w:p w:rsidR="00B04AF0" w:rsidRPr="0057275C" w:rsidRDefault="00B04AF0" w:rsidP="00B04AF0">
      <w:pPr>
        <w:jc w:val="center"/>
        <w:rPr>
          <w:b/>
          <w:sz w:val="28"/>
          <w:szCs w:val="28"/>
        </w:rPr>
      </w:pPr>
      <w:r w:rsidRPr="0057275C">
        <w:rPr>
          <w:b/>
          <w:sz w:val="28"/>
          <w:szCs w:val="28"/>
        </w:rPr>
        <w:t>LEGGE DI BILANCIO 160/2019 DEL 27.12.2019 PER L’ANNO D’IMPOSTA 2020 – ADEGUAMENTI T</w:t>
      </w:r>
      <w:bookmarkStart w:id="0" w:name="_GoBack"/>
      <w:bookmarkEnd w:id="0"/>
      <w:r w:rsidRPr="0057275C">
        <w:rPr>
          <w:b/>
          <w:sz w:val="28"/>
          <w:szCs w:val="28"/>
        </w:rPr>
        <w:t>RANSAZIONI ECONOMICHE DETRIBILI</w:t>
      </w:r>
    </w:p>
    <w:p w:rsidR="00B04AF0" w:rsidRDefault="00B04AF0" w:rsidP="00B04AF0">
      <w:pPr>
        <w:jc w:val="center"/>
        <w:rPr>
          <w:b/>
          <w:sz w:val="28"/>
          <w:szCs w:val="28"/>
          <w:u w:val="single"/>
        </w:rPr>
      </w:pPr>
    </w:p>
    <w:p w:rsidR="00B04AF0" w:rsidRDefault="00B04AF0" w:rsidP="00B04AF0">
      <w:pPr>
        <w:pStyle w:val="Testonormale"/>
        <w:jc w:val="both"/>
        <w:rPr>
          <w:rFonts w:ascii="Times New Roman" w:hAnsi="Times New Roman"/>
          <w:sz w:val="28"/>
          <w:szCs w:val="28"/>
        </w:rPr>
      </w:pPr>
    </w:p>
    <w:p w:rsidR="00B04AF0" w:rsidRPr="00B04AF0" w:rsidRDefault="00B04AF0" w:rsidP="00B04AF0">
      <w:pPr>
        <w:pStyle w:val="Testonormale"/>
        <w:jc w:val="both"/>
        <w:rPr>
          <w:rFonts w:ascii="Times New Roman" w:hAnsi="Times New Roman"/>
          <w:sz w:val="28"/>
          <w:szCs w:val="28"/>
        </w:rPr>
      </w:pPr>
      <w:r w:rsidRPr="00B04AF0">
        <w:rPr>
          <w:rFonts w:ascii="Times New Roman" w:hAnsi="Times New Roman"/>
          <w:sz w:val="28"/>
          <w:szCs w:val="28"/>
        </w:rPr>
        <w:t>La legge di bilancio 160/2019 del 27.12.2019 introduce alcune novità in merito a restrizioni sulle modalità di pagamento accettate per spese detraibili in fase di dichiarazione dei redditi per l’anno 2021.</w:t>
      </w:r>
    </w:p>
    <w:p w:rsidR="00B04AF0" w:rsidRDefault="00B04AF0" w:rsidP="00B04AF0">
      <w:pPr>
        <w:pStyle w:val="Testonormale"/>
        <w:jc w:val="both"/>
        <w:rPr>
          <w:rFonts w:ascii="Times New Roman" w:hAnsi="Times New Roman"/>
          <w:sz w:val="28"/>
          <w:szCs w:val="28"/>
        </w:rPr>
      </w:pPr>
    </w:p>
    <w:p w:rsidR="00B04AF0" w:rsidRPr="00B04AF0" w:rsidRDefault="00B04AF0" w:rsidP="00B04AF0">
      <w:pPr>
        <w:pStyle w:val="Testonormale"/>
        <w:jc w:val="both"/>
        <w:rPr>
          <w:rFonts w:ascii="Times New Roman" w:hAnsi="Times New Roman"/>
          <w:sz w:val="28"/>
          <w:szCs w:val="28"/>
        </w:rPr>
      </w:pPr>
      <w:r w:rsidRPr="00B04AF0">
        <w:rPr>
          <w:rFonts w:ascii="Times New Roman" w:hAnsi="Times New Roman"/>
          <w:sz w:val="28"/>
          <w:szCs w:val="28"/>
        </w:rPr>
        <w:t xml:space="preserve">A partire dal 2020, infatti, ai fini dell’imposta sul reddito delle persone fisiche, la detrazione d’imposta del 19% degli oneri indicati nell’art. 15 del TUIR, spetta a </w:t>
      </w:r>
      <w:r w:rsidRPr="00B04AF0">
        <w:rPr>
          <w:rFonts w:ascii="Times New Roman" w:hAnsi="Times New Roman"/>
          <w:sz w:val="28"/>
          <w:szCs w:val="28"/>
          <w:u w:val="single"/>
        </w:rPr>
        <w:t>condizione che la spesa sia sostenuta con vers</w:t>
      </w:r>
      <w:r>
        <w:rPr>
          <w:rFonts w:ascii="Times New Roman" w:hAnsi="Times New Roman"/>
          <w:sz w:val="28"/>
          <w:szCs w:val="28"/>
          <w:u w:val="single"/>
        </w:rPr>
        <w:t xml:space="preserve">amento bancario ovvero mediante </w:t>
      </w:r>
      <w:r w:rsidRPr="00B04AF0">
        <w:rPr>
          <w:rFonts w:ascii="Times New Roman" w:hAnsi="Times New Roman"/>
          <w:sz w:val="28"/>
          <w:szCs w:val="28"/>
          <w:u w:val="single"/>
        </w:rPr>
        <w:t>sistemi di pagamento tracciabili</w:t>
      </w:r>
      <w:r w:rsidRPr="00B04AF0">
        <w:rPr>
          <w:rFonts w:ascii="Times New Roman" w:hAnsi="Times New Roman"/>
          <w:sz w:val="28"/>
          <w:szCs w:val="28"/>
        </w:rPr>
        <w:t>, quali ad esempio: SDD, bancomat/carta di credito, bonifico, pagamenti online con carta di credito.</w:t>
      </w:r>
    </w:p>
    <w:p w:rsidR="00B04AF0" w:rsidRDefault="00B04AF0" w:rsidP="00B04AF0">
      <w:pPr>
        <w:pStyle w:val="Testonormale"/>
        <w:jc w:val="both"/>
        <w:rPr>
          <w:rFonts w:ascii="Times New Roman" w:hAnsi="Times New Roman"/>
          <w:sz w:val="28"/>
          <w:szCs w:val="28"/>
        </w:rPr>
      </w:pPr>
    </w:p>
    <w:p w:rsidR="00B04AF0" w:rsidRPr="00B04AF0" w:rsidRDefault="00B04AF0" w:rsidP="00B04AF0">
      <w:pPr>
        <w:pStyle w:val="Testonormale"/>
        <w:jc w:val="both"/>
        <w:rPr>
          <w:rFonts w:ascii="Times New Roman" w:hAnsi="Times New Roman"/>
          <w:sz w:val="28"/>
          <w:szCs w:val="28"/>
        </w:rPr>
      </w:pPr>
      <w:r w:rsidRPr="00B04AF0">
        <w:rPr>
          <w:rFonts w:ascii="Times New Roman" w:hAnsi="Times New Roman"/>
          <w:sz w:val="28"/>
          <w:szCs w:val="28"/>
        </w:rPr>
        <w:t xml:space="preserve">Pertanto, informiamo l’utenza che tutte le transazioni economiche effettuate in </w:t>
      </w:r>
      <w:r w:rsidRPr="00B04AF0">
        <w:rPr>
          <w:rFonts w:ascii="Times New Roman" w:hAnsi="Times New Roman"/>
          <w:b/>
          <w:sz w:val="28"/>
          <w:szCs w:val="28"/>
        </w:rPr>
        <w:t>CONTANTI</w:t>
      </w:r>
      <w:r w:rsidRPr="00B04AF0">
        <w:rPr>
          <w:rFonts w:ascii="Times New Roman" w:hAnsi="Times New Roman"/>
          <w:sz w:val="28"/>
          <w:szCs w:val="28"/>
        </w:rPr>
        <w:t xml:space="preserve"> per il servizio di refezione scolastica non potranno essere considerate utili ai fini della detrazione di imposta del 19% in sede di dichiarazione dei redditi per l’anno 2021.</w:t>
      </w:r>
    </w:p>
    <w:p w:rsidR="00B04AF0" w:rsidRDefault="00B04AF0" w:rsidP="00B04AF0">
      <w:pPr>
        <w:pStyle w:val="Testonormale"/>
        <w:jc w:val="both"/>
        <w:rPr>
          <w:rFonts w:ascii="Times New Roman" w:hAnsi="Times New Roman"/>
          <w:sz w:val="28"/>
          <w:szCs w:val="28"/>
        </w:rPr>
      </w:pPr>
    </w:p>
    <w:p w:rsidR="00B04AF0" w:rsidRPr="00B04AF0" w:rsidRDefault="00B04AF0" w:rsidP="00B04AF0">
      <w:pPr>
        <w:pStyle w:val="Testonormale"/>
        <w:jc w:val="both"/>
        <w:rPr>
          <w:rFonts w:ascii="Times New Roman" w:hAnsi="Times New Roman"/>
          <w:sz w:val="28"/>
          <w:szCs w:val="28"/>
        </w:rPr>
      </w:pPr>
      <w:r w:rsidRPr="00B04AF0">
        <w:rPr>
          <w:rFonts w:ascii="Times New Roman" w:hAnsi="Times New Roman"/>
          <w:sz w:val="28"/>
          <w:szCs w:val="28"/>
        </w:rPr>
        <w:t xml:space="preserve">Comunichiamo che per le spese sostenute nel 2019 relative alla dichiarazione dei redditi 2020 sono valide le certificazioni scaricabili dal Portale Genitori così come nei precedenti anni scolastici, mentre per la dichiarazione 2021 dei pagamenti effettuati nel 2020 vale quanto disposto dal legislatore come precedentemente dettagliato. </w:t>
      </w:r>
    </w:p>
    <w:p w:rsidR="00B04AF0" w:rsidRPr="009470AC" w:rsidRDefault="00B04AF0" w:rsidP="00B04AF0">
      <w:pPr>
        <w:pStyle w:val="Testonormale"/>
        <w:jc w:val="both"/>
        <w:rPr>
          <w:rFonts w:ascii="Calibri" w:hAnsi="Calibri"/>
          <w:sz w:val="22"/>
          <w:szCs w:val="22"/>
        </w:rPr>
      </w:pPr>
    </w:p>
    <w:p w:rsidR="00B04AF0" w:rsidRPr="00B04AF0" w:rsidRDefault="00B04AF0" w:rsidP="00B04AF0">
      <w:pPr>
        <w:jc w:val="both"/>
        <w:rPr>
          <w:sz w:val="28"/>
          <w:szCs w:val="28"/>
        </w:rPr>
      </w:pPr>
    </w:p>
    <w:p w:rsidR="00B04AF0" w:rsidRDefault="00B04AF0" w:rsidP="00B04AF0">
      <w:pPr>
        <w:rPr>
          <w:sz w:val="26"/>
        </w:rPr>
      </w:pPr>
    </w:p>
    <w:p w:rsidR="00B04AF0" w:rsidRDefault="00B04AF0" w:rsidP="00B04AF0">
      <w:pPr>
        <w:rPr>
          <w:sz w:val="26"/>
        </w:rPr>
      </w:pPr>
    </w:p>
    <w:p w:rsidR="00B04AF0" w:rsidRDefault="00B04AF0" w:rsidP="00B04AF0">
      <w:pPr>
        <w:rPr>
          <w:sz w:val="26"/>
        </w:rPr>
      </w:pPr>
    </w:p>
    <w:p w:rsidR="00B04AF0" w:rsidRDefault="00B04AF0" w:rsidP="00B04AF0">
      <w:pPr>
        <w:rPr>
          <w:sz w:val="26"/>
        </w:rPr>
      </w:pPr>
    </w:p>
    <w:p w:rsidR="00B04AF0" w:rsidRDefault="00B04AF0" w:rsidP="00B04AF0">
      <w:pPr>
        <w:rPr>
          <w:sz w:val="26"/>
        </w:rPr>
      </w:pPr>
    </w:p>
    <w:p w:rsidR="00B867B5" w:rsidRDefault="00B867B5"/>
    <w:sectPr w:rsidR="00B867B5">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31"/>
    <w:rsid w:val="003E5F31"/>
    <w:rsid w:val="00441285"/>
    <w:rsid w:val="004653EB"/>
    <w:rsid w:val="00524D11"/>
    <w:rsid w:val="0057275C"/>
    <w:rsid w:val="00B04AF0"/>
    <w:rsid w:val="00B86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4AF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04AF0"/>
    <w:pPr>
      <w:keepNext/>
      <w:jc w:val="center"/>
      <w:outlineLvl w:val="0"/>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4AF0"/>
    <w:rPr>
      <w:rFonts w:ascii="Times New Roman" w:eastAsia="Times New Roman" w:hAnsi="Times New Roman" w:cs="Times New Roman"/>
      <w:sz w:val="26"/>
      <w:szCs w:val="20"/>
      <w:lang w:eastAsia="it-IT"/>
    </w:rPr>
  </w:style>
  <w:style w:type="paragraph" w:styleId="Testofumetto">
    <w:name w:val="Balloon Text"/>
    <w:basedOn w:val="Normale"/>
    <w:link w:val="TestofumettoCarattere"/>
    <w:uiPriority w:val="99"/>
    <w:semiHidden/>
    <w:unhideWhenUsed/>
    <w:rsid w:val="00B04A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AF0"/>
    <w:rPr>
      <w:rFonts w:ascii="Tahoma" w:eastAsia="Times New Roman" w:hAnsi="Tahoma" w:cs="Tahoma"/>
      <w:sz w:val="16"/>
      <w:szCs w:val="16"/>
      <w:lang w:eastAsia="it-IT"/>
    </w:rPr>
  </w:style>
  <w:style w:type="paragraph" w:styleId="Testonormale">
    <w:name w:val="Plain Text"/>
    <w:basedOn w:val="Normale"/>
    <w:link w:val="TestonormaleCarattere"/>
    <w:uiPriority w:val="99"/>
    <w:rsid w:val="00B04AF0"/>
    <w:rPr>
      <w:rFonts w:ascii="Courier New" w:hAnsi="Courier New"/>
    </w:rPr>
  </w:style>
  <w:style w:type="character" w:customStyle="1" w:styleId="TestonormaleCarattere">
    <w:name w:val="Testo normale Carattere"/>
    <w:basedOn w:val="Carpredefinitoparagrafo"/>
    <w:link w:val="Testonormale"/>
    <w:uiPriority w:val="99"/>
    <w:rsid w:val="00B04AF0"/>
    <w:rPr>
      <w:rFonts w:ascii="Courier New" w:eastAsia="Times New Roman" w:hAnsi="Courier New"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4AF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04AF0"/>
    <w:pPr>
      <w:keepNext/>
      <w:jc w:val="center"/>
      <w:outlineLvl w:val="0"/>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4AF0"/>
    <w:rPr>
      <w:rFonts w:ascii="Times New Roman" w:eastAsia="Times New Roman" w:hAnsi="Times New Roman" w:cs="Times New Roman"/>
      <w:sz w:val="26"/>
      <w:szCs w:val="20"/>
      <w:lang w:eastAsia="it-IT"/>
    </w:rPr>
  </w:style>
  <w:style w:type="paragraph" w:styleId="Testofumetto">
    <w:name w:val="Balloon Text"/>
    <w:basedOn w:val="Normale"/>
    <w:link w:val="TestofumettoCarattere"/>
    <w:uiPriority w:val="99"/>
    <w:semiHidden/>
    <w:unhideWhenUsed/>
    <w:rsid w:val="00B04A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AF0"/>
    <w:rPr>
      <w:rFonts w:ascii="Tahoma" w:eastAsia="Times New Roman" w:hAnsi="Tahoma" w:cs="Tahoma"/>
      <w:sz w:val="16"/>
      <w:szCs w:val="16"/>
      <w:lang w:eastAsia="it-IT"/>
    </w:rPr>
  </w:style>
  <w:style w:type="paragraph" w:styleId="Testonormale">
    <w:name w:val="Plain Text"/>
    <w:basedOn w:val="Normale"/>
    <w:link w:val="TestonormaleCarattere"/>
    <w:uiPriority w:val="99"/>
    <w:rsid w:val="00B04AF0"/>
    <w:rPr>
      <w:rFonts w:ascii="Courier New" w:hAnsi="Courier New"/>
    </w:rPr>
  </w:style>
  <w:style w:type="character" w:customStyle="1" w:styleId="TestonormaleCarattere">
    <w:name w:val="Testo normale Carattere"/>
    <w:basedOn w:val="Carpredefinitoparagrafo"/>
    <w:link w:val="Testonormale"/>
    <w:uiPriority w:val="99"/>
    <w:rsid w:val="00B04AF0"/>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216</Words>
  <Characters>1235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dc:creator>
  <cp:keywords/>
  <dc:description/>
  <cp:lastModifiedBy>Dotti</cp:lastModifiedBy>
  <cp:revision>3</cp:revision>
  <cp:lastPrinted>2020-03-06T12:12:00Z</cp:lastPrinted>
  <dcterms:created xsi:type="dcterms:W3CDTF">2020-03-06T12:00:00Z</dcterms:created>
  <dcterms:modified xsi:type="dcterms:W3CDTF">2020-03-07T09:04:00Z</dcterms:modified>
</cp:coreProperties>
</file>