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E06F" w14:textId="1F42AADC" w:rsidR="00471409" w:rsidRPr="002E198C" w:rsidRDefault="002E198C" w:rsidP="00BD78F9">
      <w:pPr>
        <w:pStyle w:val="Titolo1"/>
        <w:spacing w:before="0" w:line="240" w:lineRule="auto"/>
        <w:jc w:val="center"/>
        <w:rPr>
          <w:rFonts w:ascii="Cambria" w:hAnsi="Cambria"/>
          <w:b/>
          <w:color w:val="9A0000"/>
        </w:rPr>
      </w:pPr>
      <w:r w:rsidRPr="002E198C">
        <w:rPr>
          <w:rFonts w:ascii="Cambria" w:hAnsi="Cambria"/>
          <w:b/>
          <w:color w:val="9A0000"/>
        </w:rPr>
        <w:t>CRITERI DI MISURAZIONE</w:t>
      </w:r>
    </w:p>
    <w:p w14:paraId="7AA7D69E" w14:textId="77777777" w:rsidR="00DB07B0" w:rsidRPr="001A08EA" w:rsidRDefault="00DB07B0" w:rsidP="00DB07B0">
      <w:pPr>
        <w:rPr>
          <w:color w:val="9A0000"/>
        </w:rPr>
      </w:pPr>
    </w:p>
    <w:p w14:paraId="13E15281" w14:textId="77777777" w:rsidR="00DB07B0" w:rsidRPr="001A08EA" w:rsidRDefault="00DB07B0" w:rsidP="00DB07B0">
      <w:pPr>
        <w:rPr>
          <w:color w:val="9A0000"/>
        </w:rPr>
      </w:pPr>
    </w:p>
    <w:p w14:paraId="4626CFF1" w14:textId="77777777" w:rsidR="004B5BB2" w:rsidRDefault="002C277F" w:rsidP="00B91215">
      <w:pPr>
        <w:pStyle w:val="Titolo1"/>
        <w:spacing w:before="0" w:line="240" w:lineRule="auto"/>
        <w:jc w:val="center"/>
        <w:rPr>
          <w:rFonts w:ascii="Cambria" w:eastAsia="Calibri" w:hAnsi="Cambria" w:cs="Times New Roman"/>
          <w:b/>
          <w:color w:val="9A0000"/>
          <w:w w:val="84"/>
          <w:sz w:val="40"/>
          <w:szCs w:val="40"/>
        </w:rPr>
      </w:pPr>
      <w:bookmarkStart w:id="0" w:name="_Toc497578723"/>
      <w:r>
        <w:rPr>
          <w:rFonts w:ascii="Cambria" w:eastAsia="Calibri" w:hAnsi="Cambria" w:cs="Times New Roman"/>
          <w:b/>
          <w:color w:val="9A0000"/>
          <w:w w:val="84"/>
          <w:sz w:val="40"/>
          <w:szCs w:val="40"/>
        </w:rPr>
        <w:t>La valutazione della performance</w:t>
      </w:r>
      <w:bookmarkEnd w:id="0"/>
    </w:p>
    <w:p w14:paraId="5A04296A" w14:textId="77777777" w:rsidR="00731D48" w:rsidRDefault="00731D48" w:rsidP="00731D48">
      <w:pPr>
        <w:jc w:val="center"/>
        <w:rPr>
          <w:lang w:eastAsia="en-US"/>
        </w:rPr>
      </w:pPr>
    </w:p>
    <w:p w14:paraId="1001052E" w14:textId="77777777" w:rsidR="002E198C" w:rsidRDefault="002E198C" w:rsidP="00731D48">
      <w:pPr>
        <w:jc w:val="center"/>
        <w:rPr>
          <w:lang w:eastAsia="en-US"/>
        </w:rPr>
      </w:pPr>
      <w:r>
        <w:rPr>
          <w:lang w:eastAsia="en-US"/>
        </w:rPr>
        <w:t>Definiti dall’art. 6 del Sistema di Misurazione e Valutazione della Performance</w:t>
      </w:r>
    </w:p>
    <w:p w14:paraId="116E48D0" w14:textId="1230716F" w:rsidR="00731D48" w:rsidRPr="00731D48" w:rsidRDefault="002E198C" w:rsidP="00731D48">
      <w:pPr>
        <w:jc w:val="center"/>
        <w:rPr>
          <w:lang w:eastAsia="en-US"/>
        </w:rPr>
      </w:pPr>
      <w:r>
        <w:rPr>
          <w:lang w:eastAsia="en-US"/>
        </w:rPr>
        <w:t xml:space="preserve">approvato con </w:t>
      </w:r>
      <w:r w:rsidR="00731D48">
        <w:rPr>
          <w:lang w:eastAsia="en-US"/>
        </w:rPr>
        <w:t>deliberazione di G.C. n. 146 del 16.12.2017</w:t>
      </w:r>
    </w:p>
    <w:p w14:paraId="17C78FC9" w14:textId="511AEBE2" w:rsidR="00F75187" w:rsidRDefault="00F75187" w:rsidP="00DB07B0"/>
    <w:p w14:paraId="0A273C41" w14:textId="77777777" w:rsidR="007B44F9" w:rsidRDefault="007B44F9" w:rsidP="00DB07B0"/>
    <w:p w14:paraId="53D978B1" w14:textId="657EED5A" w:rsidR="003308CA" w:rsidRPr="00716CE2" w:rsidRDefault="002E198C" w:rsidP="002E198C">
      <w:pPr>
        <w:pStyle w:val="Titolo1"/>
        <w:spacing w:after="120" w:line="288" w:lineRule="auto"/>
        <w:jc w:val="both"/>
        <w:rPr>
          <w:rFonts w:ascii="Cambria" w:eastAsiaTheme="minorHAnsi" w:hAnsi="Cambria" w:cstheme="minorBidi"/>
          <w:b/>
          <w:color w:val="990000"/>
          <w:sz w:val="26"/>
          <w:szCs w:val="26"/>
        </w:rPr>
      </w:pPr>
      <w:bookmarkStart w:id="1" w:name="_Toc497578734"/>
      <w:r>
        <w:rPr>
          <w:rFonts w:ascii="Cambria" w:eastAsiaTheme="minorHAnsi" w:hAnsi="Cambria" w:cstheme="minorBidi"/>
          <w:b/>
          <w:color w:val="990000"/>
          <w:sz w:val="26"/>
          <w:szCs w:val="26"/>
        </w:rPr>
        <w:t xml:space="preserve">ART. 6 </w:t>
      </w:r>
      <w:r w:rsidR="00F37027">
        <w:rPr>
          <w:rFonts w:ascii="Cambria" w:eastAsiaTheme="minorHAnsi" w:hAnsi="Cambria" w:cstheme="minorBidi"/>
          <w:b/>
          <w:color w:val="990000"/>
          <w:sz w:val="26"/>
          <w:szCs w:val="26"/>
        </w:rPr>
        <w:t>Il raccordo tra valutazione e compensi</w:t>
      </w:r>
      <w:r w:rsidR="003308CA" w:rsidRPr="00716CE2">
        <w:rPr>
          <w:rFonts w:ascii="Cambria" w:eastAsiaTheme="minorHAnsi" w:hAnsi="Cambria" w:cstheme="minorBidi"/>
          <w:b/>
          <w:color w:val="990000"/>
          <w:sz w:val="26"/>
          <w:szCs w:val="26"/>
        </w:rPr>
        <w:t>.</w:t>
      </w:r>
      <w:bookmarkEnd w:id="1"/>
    </w:p>
    <w:p w14:paraId="58F80C38" w14:textId="77777777" w:rsidR="00BE743F" w:rsidRDefault="00F37027" w:rsidP="00BE743F">
      <w:pPr>
        <w:spacing w:after="60" w:line="288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La </w:t>
      </w:r>
      <w:r w:rsidR="00BE743F">
        <w:rPr>
          <w:rFonts w:ascii="Cambria" w:hAnsi="Cambria"/>
          <w:sz w:val="26"/>
          <w:szCs w:val="26"/>
        </w:rPr>
        <w:t>tabella di raccordo è la seguente:</w:t>
      </w:r>
    </w:p>
    <w:tbl>
      <w:tblPr>
        <w:tblW w:w="9639" w:type="dxa"/>
        <w:tblCellSpacing w:w="20" w:type="dxa"/>
        <w:tblInd w:w="-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90287C" w:rsidRPr="00BE743F" w14:paraId="76712AA4" w14:textId="77777777" w:rsidTr="0090287C">
        <w:trPr>
          <w:cantSplit/>
          <w:tblHeader/>
          <w:tblCellSpacing w:w="20" w:type="dxa"/>
        </w:trPr>
        <w:tc>
          <w:tcPr>
            <w:tcW w:w="5043" w:type="dxa"/>
            <w:tcBorders>
              <w:top w:val="single" w:sz="2" w:space="0" w:color="FF0000"/>
              <w:left w:val="single" w:sz="2" w:space="0" w:color="FF0000"/>
            </w:tcBorders>
            <w:shd w:val="clear" w:color="auto" w:fill="F2F2F2"/>
            <w:vAlign w:val="center"/>
          </w:tcPr>
          <w:p w14:paraId="3EF9AC17" w14:textId="77777777" w:rsidR="00BE743F" w:rsidRPr="00BE743F" w:rsidRDefault="00BE743F" w:rsidP="00BE743F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Verdana"/>
                <w:b/>
                <w:bCs/>
                <w:color w:val="000000"/>
              </w:rPr>
            </w:pPr>
            <w:r w:rsidRPr="006D07D4">
              <w:rPr>
                <w:rFonts w:ascii="Cambria" w:eastAsia="Times New Roman" w:hAnsi="Cambria" w:cs="Verdana"/>
                <w:b/>
                <w:bCs/>
                <w:color w:val="000000"/>
              </w:rPr>
              <w:t>Valutazione ottenuta</w:t>
            </w:r>
          </w:p>
        </w:tc>
        <w:tc>
          <w:tcPr>
            <w:tcW w:w="4476" w:type="dxa"/>
            <w:tcBorders>
              <w:top w:val="single" w:sz="2" w:space="0" w:color="FF0000"/>
              <w:left w:val="single" w:sz="2" w:space="0" w:color="FF0000"/>
            </w:tcBorders>
            <w:shd w:val="clear" w:color="auto" w:fill="F2F2F2"/>
          </w:tcPr>
          <w:p w14:paraId="0B4BCFD7" w14:textId="77777777" w:rsidR="00BE743F" w:rsidRPr="00BE743F" w:rsidRDefault="00A84F8B" w:rsidP="00BE743F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Verdana"/>
                <w:b/>
                <w:bCs/>
                <w:color w:val="000000"/>
              </w:rPr>
            </w:pPr>
            <w:r>
              <w:rPr>
                <w:rFonts w:ascii="Cambria" w:eastAsia="Times New Roman" w:hAnsi="Cambria" w:cs="Verdana"/>
                <w:b/>
                <w:bCs/>
                <w:color w:val="000000"/>
              </w:rPr>
              <w:t xml:space="preserve">% </w:t>
            </w:r>
            <w:r w:rsidR="0087593E" w:rsidRPr="006D07D4">
              <w:rPr>
                <w:rFonts w:ascii="Cambria" w:eastAsia="Times New Roman" w:hAnsi="Cambria" w:cs="Verdana"/>
                <w:b/>
                <w:bCs/>
                <w:color w:val="000000"/>
              </w:rPr>
              <w:t>Compenso riconosciuto</w:t>
            </w:r>
          </w:p>
        </w:tc>
      </w:tr>
      <w:tr w:rsidR="0087593E" w:rsidRPr="00BE743F" w14:paraId="4A178D1A" w14:textId="77777777" w:rsidTr="0090287C">
        <w:trPr>
          <w:cantSplit/>
          <w:tblCellSpacing w:w="20" w:type="dxa"/>
        </w:trPr>
        <w:tc>
          <w:tcPr>
            <w:tcW w:w="5043" w:type="dxa"/>
            <w:tcBorders>
              <w:left w:val="single" w:sz="2" w:space="0" w:color="FF0000"/>
            </w:tcBorders>
            <w:shd w:val="clear" w:color="auto" w:fill="FFFFFF"/>
            <w:vAlign w:val="center"/>
          </w:tcPr>
          <w:p w14:paraId="6E7DD6FA" w14:textId="77777777" w:rsidR="0087593E" w:rsidRPr="00BE743F" w:rsidRDefault="00A84F8B" w:rsidP="0087593E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Verdana"/>
                <w:color w:val="000000"/>
              </w:rPr>
            </w:pPr>
            <w:r>
              <w:rPr>
                <w:rFonts w:ascii="Cambria" w:eastAsia="Times New Roman" w:hAnsi="Cambria" w:cs="Verdana"/>
                <w:color w:val="000000"/>
              </w:rPr>
              <w:t>S</w:t>
            </w:r>
            <w:r w:rsidR="0087593E" w:rsidRPr="0087593E">
              <w:rPr>
                <w:rFonts w:ascii="Cambria" w:eastAsia="Times New Roman" w:hAnsi="Cambria" w:cs="Verdana"/>
                <w:color w:val="000000"/>
              </w:rPr>
              <w:t>uperiore a 90</w:t>
            </w:r>
          </w:p>
        </w:tc>
        <w:tc>
          <w:tcPr>
            <w:tcW w:w="4476" w:type="dxa"/>
            <w:tcBorders>
              <w:left w:val="single" w:sz="2" w:space="0" w:color="FF0000"/>
              <w:right w:val="single" w:sz="2" w:space="0" w:color="FF0000"/>
            </w:tcBorders>
            <w:shd w:val="clear" w:color="auto" w:fill="FFFFFF"/>
            <w:vAlign w:val="center"/>
          </w:tcPr>
          <w:p w14:paraId="6CAD2955" w14:textId="77777777" w:rsidR="0087593E" w:rsidRPr="00BE743F" w:rsidRDefault="0087593E" w:rsidP="00BE743F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Verdana"/>
                <w:color w:val="000000"/>
              </w:rPr>
            </w:pPr>
            <w:r w:rsidRPr="00BE743F">
              <w:rPr>
                <w:rFonts w:ascii="Cambria" w:eastAsia="Times New Roman" w:hAnsi="Cambria" w:cs="Verdana"/>
                <w:color w:val="000000"/>
              </w:rPr>
              <w:t xml:space="preserve">100% </w:t>
            </w:r>
          </w:p>
        </w:tc>
      </w:tr>
      <w:tr w:rsidR="0087593E" w:rsidRPr="00BE743F" w14:paraId="25617F21" w14:textId="77777777" w:rsidTr="0090287C">
        <w:trPr>
          <w:cantSplit/>
          <w:tblCellSpacing w:w="20" w:type="dxa"/>
        </w:trPr>
        <w:tc>
          <w:tcPr>
            <w:tcW w:w="5043" w:type="dxa"/>
            <w:tcBorders>
              <w:left w:val="single" w:sz="2" w:space="0" w:color="FF0000"/>
            </w:tcBorders>
            <w:shd w:val="clear" w:color="auto" w:fill="FFFFFF"/>
            <w:vAlign w:val="center"/>
          </w:tcPr>
          <w:p w14:paraId="048CF597" w14:textId="77777777" w:rsidR="0087593E" w:rsidRPr="00BE743F" w:rsidRDefault="00A84F8B" w:rsidP="00B36C54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Verdana"/>
                <w:color w:val="000000"/>
              </w:rPr>
            </w:pPr>
            <w:r>
              <w:rPr>
                <w:rFonts w:ascii="Cambria" w:eastAsia="Times New Roman" w:hAnsi="Cambria" w:cs="Verdana"/>
                <w:color w:val="000000"/>
              </w:rPr>
              <w:t>S</w:t>
            </w:r>
            <w:r w:rsidR="0087593E" w:rsidRPr="0087593E">
              <w:rPr>
                <w:rFonts w:ascii="Cambria" w:eastAsia="Times New Roman" w:hAnsi="Cambria" w:cs="Verdana"/>
                <w:color w:val="000000"/>
              </w:rPr>
              <w:t xml:space="preserve">uperiore a </w:t>
            </w:r>
            <w:r w:rsidR="006D07D4">
              <w:rPr>
                <w:rFonts w:ascii="Cambria" w:eastAsia="Times New Roman" w:hAnsi="Cambria" w:cs="Verdana"/>
                <w:color w:val="000000"/>
              </w:rPr>
              <w:t>8</w:t>
            </w:r>
            <w:r w:rsidR="0087593E" w:rsidRPr="0087593E">
              <w:rPr>
                <w:rFonts w:ascii="Cambria" w:eastAsia="Times New Roman" w:hAnsi="Cambria" w:cs="Verdana"/>
                <w:color w:val="000000"/>
              </w:rPr>
              <w:t xml:space="preserve">0 e </w:t>
            </w:r>
            <w:r w:rsidR="00B36C54">
              <w:rPr>
                <w:rFonts w:ascii="Cambria" w:eastAsia="Times New Roman" w:hAnsi="Cambria" w:cs="Verdana"/>
                <w:color w:val="000000"/>
              </w:rPr>
              <w:t>fino</w:t>
            </w:r>
            <w:r w:rsidR="0087593E" w:rsidRPr="0087593E">
              <w:rPr>
                <w:rFonts w:ascii="Cambria" w:eastAsia="Times New Roman" w:hAnsi="Cambria" w:cs="Verdana"/>
                <w:color w:val="000000"/>
              </w:rPr>
              <w:t xml:space="preserve"> a 90</w:t>
            </w:r>
          </w:p>
        </w:tc>
        <w:tc>
          <w:tcPr>
            <w:tcW w:w="4476" w:type="dxa"/>
            <w:tcBorders>
              <w:left w:val="single" w:sz="2" w:space="0" w:color="FF0000"/>
              <w:right w:val="single" w:sz="2" w:space="0" w:color="FF0000"/>
            </w:tcBorders>
            <w:shd w:val="clear" w:color="auto" w:fill="FFFFFF"/>
            <w:vAlign w:val="center"/>
          </w:tcPr>
          <w:p w14:paraId="2EB65ED9" w14:textId="77777777" w:rsidR="0087593E" w:rsidRPr="00BE743F" w:rsidRDefault="006D07D4" w:rsidP="00BE743F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Verdana"/>
                <w:color w:val="000000"/>
              </w:rPr>
            </w:pPr>
            <w:r>
              <w:rPr>
                <w:rFonts w:ascii="Cambria" w:eastAsia="Times New Roman" w:hAnsi="Cambria" w:cs="Verdana"/>
                <w:color w:val="000000"/>
              </w:rPr>
              <w:t>9</w:t>
            </w:r>
            <w:r w:rsidR="0087593E" w:rsidRPr="00BE743F">
              <w:rPr>
                <w:rFonts w:ascii="Cambria" w:eastAsia="Times New Roman" w:hAnsi="Cambria" w:cs="Verdana"/>
                <w:color w:val="000000"/>
              </w:rPr>
              <w:t>0%</w:t>
            </w:r>
          </w:p>
        </w:tc>
      </w:tr>
      <w:tr w:rsidR="0087593E" w:rsidRPr="00BE743F" w14:paraId="367003F5" w14:textId="77777777" w:rsidTr="0090287C">
        <w:trPr>
          <w:cantSplit/>
          <w:tblCellSpacing w:w="20" w:type="dxa"/>
        </w:trPr>
        <w:tc>
          <w:tcPr>
            <w:tcW w:w="5043" w:type="dxa"/>
            <w:tcBorders>
              <w:left w:val="single" w:sz="2" w:space="0" w:color="FF0000"/>
            </w:tcBorders>
            <w:shd w:val="clear" w:color="auto" w:fill="FFFFFF"/>
            <w:vAlign w:val="center"/>
          </w:tcPr>
          <w:p w14:paraId="2856D5BA" w14:textId="77777777" w:rsidR="0087593E" w:rsidRPr="00BE743F" w:rsidRDefault="00B36C54" w:rsidP="00B36C54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Verdana"/>
                <w:color w:val="000000"/>
              </w:rPr>
            </w:pPr>
            <w:r>
              <w:rPr>
                <w:rFonts w:ascii="Cambria" w:eastAsia="Times New Roman" w:hAnsi="Cambria" w:cs="Verdana"/>
                <w:color w:val="000000"/>
              </w:rPr>
              <w:t>S</w:t>
            </w:r>
            <w:r w:rsidR="0087593E" w:rsidRPr="0087593E">
              <w:rPr>
                <w:rFonts w:ascii="Cambria" w:eastAsia="Times New Roman" w:hAnsi="Cambria" w:cs="Verdana"/>
                <w:color w:val="000000"/>
              </w:rPr>
              <w:t xml:space="preserve">uperiore a </w:t>
            </w:r>
            <w:r>
              <w:rPr>
                <w:rFonts w:ascii="Cambria" w:eastAsia="Times New Roman" w:hAnsi="Cambria" w:cs="Verdana"/>
                <w:color w:val="000000"/>
              </w:rPr>
              <w:t>7</w:t>
            </w:r>
            <w:r w:rsidR="0087593E" w:rsidRPr="0087593E">
              <w:rPr>
                <w:rFonts w:ascii="Cambria" w:eastAsia="Times New Roman" w:hAnsi="Cambria" w:cs="Verdana"/>
                <w:color w:val="000000"/>
              </w:rPr>
              <w:t xml:space="preserve">0 e </w:t>
            </w:r>
            <w:r>
              <w:rPr>
                <w:rFonts w:ascii="Cambria" w:eastAsia="Times New Roman" w:hAnsi="Cambria" w:cs="Verdana"/>
                <w:color w:val="000000"/>
              </w:rPr>
              <w:t>fino</w:t>
            </w:r>
            <w:r w:rsidR="0087593E" w:rsidRPr="0087593E">
              <w:rPr>
                <w:rFonts w:ascii="Cambria" w:eastAsia="Times New Roman" w:hAnsi="Cambria" w:cs="Verdana"/>
                <w:color w:val="000000"/>
              </w:rPr>
              <w:t xml:space="preserve"> a </w:t>
            </w:r>
            <w:r w:rsidR="006D07D4">
              <w:rPr>
                <w:rFonts w:ascii="Cambria" w:eastAsia="Times New Roman" w:hAnsi="Cambria" w:cs="Verdana"/>
                <w:color w:val="000000"/>
              </w:rPr>
              <w:t>8</w:t>
            </w:r>
            <w:r w:rsidR="0087593E" w:rsidRPr="0087593E">
              <w:rPr>
                <w:rFonts w:ascii="Cambria" w:eastAsia="Times New Roman" w:hAnsi="Cambria" w:cs="Verdana"/>
                <w:color w:val="000000"/>
              </w:rPr>
              <w:t xml:space="preserve">0 </w:t>
            </w:r>
          </w:p>
        </w:tc>
        <w:tc>
          <w:tcPr>
            <w:tcW w:w="4476" w:type="dxa"/>
            <w:tcBorders>
              <w:left w:val="single" w:sz="2" w:space="0" w:color="FF0000"/>
              <w:right w:val="single" w:sz="2" w:space="0" w:color="FF0000"/>
            </w:tcBorders>
            <w:shd w:val="clear" w:color="auto" w:fill="FFFFFF"/>
            <w:vAlign w:val="center"/>
          </w:tcPr>
          <w:p w14:paraId="26521803" w14:textId="77777777" w:rsidR="0087593E" w:rsidRPr="00BE743F" w:rsidRDefault="00B36C54" w:rsidP="00BE743F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Verdana"/>
                <w:color w:val="000000"/>
              </w:rPr>
            </w:pPr>
            <w:r>
              <w:rPr>
                <w:rFonts w:ascii="Cambria" w:eastAsia="Times New Roman" w:hAnsi="Cambria" w:cs="Verdana"/>
                <w:color w:val="000000"/>
              </w:rPr>
              <w:t>8</w:t>
            </w:r>
            <w:r w:rsidR="0087593E" w:rsidRPr="00BE743F">
              <w:rPr>
                <w:rFonts w:ascii="Cambria" w:eastAsia="Times New Roman" w:hAnsi="Cambria" w:cs="Verdana"/>
                <w:color w:val="000000"/>
              </w:rPr>
              <w:t>0%</w:t>
            </w:r>
          </w:p>
        </w:tc>
      </w:tr>
      <w:tr w:rsidR="00B36C54" w:rsidRPr="00BE743F" w14:paraId="7781319D" w14:textId="77777777" w:rsidTr="0090287C">
        <w:trPr>
          <w:cantSplit/>
          <w:tblCellSpacing w:w="20" w:type="dxa"/>
        </w:trPr>
        <w:tc>
          <w:tcPr>
            <w:tcW w:w="5043" w:type="dxa"/>
            <w:tcBorders>
              <w:left w:val="single" w:sz="2" w:space="0" w:color="FF0000"/>
            </w:tcBorders>
            <w:shd w:val="clear" w:color="auto" w:fill="FFFFFF"/>
            <w:vAlign w:val="center"/>
          </w:tcPr>
          <w:p w14:paraId="025491D1" w14:textId="77777777" w:rsidR="00B36C54" w:rsidRDefault="00B36C54" w:rsidP="00B36C54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Verdana"/>
                <w:color w:val="000000"/>
              </w:rPr>
            </w:pPr>
            <w:r>
              <w:rPr>
                <w:rFonts w:ascii="Cambria" w:eastAsia="Times New Roman" w:hAnsi="Cambria" w:cs="Verdana"/>
                <w:color w:val="000000"/>
              </w:rPr>
              <w:t>Superiore a 60 e fino a 70</w:t>
            </w:r>
          </w:p>
        </w:tc>
        <w:tc>
          <w:tcPr>
            <w:tcW w:w="4476" w:type="dxa"/>
            <w:tcBorders>
              <w:left w:val="single" w:sz="2" w:space="0" w:color="FF0000"/>
              <w:right w:val="single" w:sz="2" w:space="0" w:color="FF0000"/>
            </w:tcBorders>
            <w:shd w:val="clear" w:color="auto" w:fill="FFFFFF"/>
            <w:vAlign w:val="center"/>
          </w:tcPr>
          <w:p w14:paraId="016AC12B" w14:textId="77777777" w:rsidR="00B36C54" w:rsidRDefault="00B36C54" w:rsidP="00BE743F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Verdana"/>
                <w:color w:val="000000"/>
              </w:rPr>
            </w:pPr>
            <w:r>
              <w:rPr>
                <w:rFonts w:ascii="Cambria" w:eastAsia="Times New Roman" w:hAnsi="Cambria" w:cs="Verdana"/>
                <w:color w:val="000000"/>
              </w:rPr>
              <w:t>65%</w:t>
            </w:r>
          </w:p>
        </w:tc>
      </w:tr>
      <w:tr w:rsidR="006D07D4" w:rsidRPr="00BE743F" w14:paraId="2E31611C" w14:textId="77777777" w:rsidTr="0090287C">
        <w:trPr>
          <w:cantSplit/>
          <w:tblCellSpacing w:w="20" w:type="dxa"/>
        </w:trPr>
        <w:tc>
          <w:tcPr>
            <w:tcW w:w="5043" w:type="dxa"/>
            <w:tcBorders>
              <w:left w:val="single" w:sz="2" w:space="0" w:color="FF0000"/>
            </w:tcBorders>
            <w:shd w:val="clear" w:color="auto" w:fill="FFFFFF"/>
            <w:vAlign w:val="center"/>
          </w:tcPr>
          <w:p w14:paraId="32593E34" w14:textId="77777777" w:rsidR="006D07D4" w:rsidRPr="0087593E" w:rsidRDefault="00B36C54" w:rsidP="00B36C54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Verdana"/>
                <w:color w:val="000000"/>
              </w:rPr>
            </w:pPr>
            <w:r>
              <w:rPr>
                <w:rFonts w:ascii="Cambria" w:eastAsia="Times New Roman" w:hAnsi="Cambria" w:cs="Verdana"/>
                <w:color w:val="000000"/>
              </w:rPr>
              <w:t xml:space="preserve">Pari o superiore a 50 e fino </w:t>
            </w:r>
            <w:r w:rsidR="006D07D4">
              <w:rPr>
                <w:rFonts w:ascii="Cambria" w:eastAsia="Times New Roman" w:hAnsi="Cambria" w:cs="Verdana"/>
                <w:color w:val="000000"/>
              </w:rPr>
              <w:t>a 60</w:t>
            </w:r>
          </w:p>
        </w:tc>
        <w:tc>
          <w:tcPr>
            <w:tcW w:w="4476" w:type="dxa"/>
            <w:tcBorders>
              <w:left w:val="single" w:sz="2" w:space="0" w:color="FF0000"/>
              <w:right w:val="single" w:sz="2" w:space="0" w:color="FF0000"/>
            </w:tcBorders>
            <w:shd w:val="clear" w:color="auto" w:fill="FFFFFF"/>
            <w:vAlign w:val="center"/>
          </w:tcPr>
          <w:p w14:paraId="24B42663" w14:textId="77777777" w:rsidR="006D07D4" w:rsidRPr="0087593E" w:rsidRDefault="006D07D4" w:rsidP="00BE743F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Verdana"/>
                <w:color w:val="000000"/>
              </w:rPr>
            </w:pPr>
            <w:r>
              <w:rPr>
                <w:rFonts w:ascii="Cambria" w:eastAsia="Times New Roman" w:hAnsi="Cambria" w:cs="Verdana"/>
                <w:color w:val="000000"/>
              </w:rPr>
              <w:t>50%</w:t>
            </w:r>
          </w:p>
        </w:tc>
      </w:tr>
      <w:tr w:rsidR="0090287C" w:rsidRPr="00BE743F" w14:paraId="510BA2F7" w14:textId="77777777" w:rsidTr="0090287C">
        <w:trPr>
          <w:cantSplit/>
          <w:tblCellSpacing w:w="20" w:type="dxa"/>
        </w:trPr>
        <w:tc>
          <w:tcPr>
            <w:tcW w:w="5043" w:type="dxa"/>
            <w:tcBorders>
              <w:left w:val="single" w:sz="2" w:space="0" w:color="FF0000"/>
            </w:tcBorders>
            <w:shd w:val="clear" w:color="auto" w:fill="FFFFFF"/>
            <w:vAlign w:val="center"/>
          </w:tcPr>
          <w:p w14:paraId="37672B0A" w14:textId="77777777" w:rsidR="00BE743F" w:rsidRPr="00BE743F" w:rsidRDefault="00BE743F" w:rsidP="00BE743F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Verdana"/>
                <w:color w:val="000000"/>
              </w:rPr>
            </w:pPr>
            <w:r w:rsidRPr="00BE743F">
              <w:rPr>
                <w:rFonts w:ascii="Cambria" w:eastAsia="Times New Roman" w:hAnsi="Cambria" w:cs="Verdana"/>
                <w:color w:val="000000"/>
              </w:rPr>
              <w:t>Inferiore a 50</w:t>
            </w:r>
          </w:p>
        </w:tc>
        <w:tc>
          <w:tcPr>
            <w:tcW w:w="4476" w:type="dxa"/>
            <w:tcBorders>
              <w:left w:val="single" w:sz="2" w:space="0" w:color="FF0000"/>
            </w:tcBorders>
            <w:shd w:val="clear" w:color="auto" w:fill="FFFFFF"/>
            <w:vAlign w:val="center"/>
          </w:tcPr>
          <w:p w14:paraId="0BEAFD7F" w14:textId="77777777" w:rsidR="00BE743F" w:rsidRPr="00BE743F" w:rsidRDefault="00BE743F" w:rsidP="00BE743F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Verdana"/>
                <w:color w:val="000000"/>
              </w:rPr>
            </w:pPr>
            <w:r w:rsidRPr="00BE743F">
              <w:rPr>
                <w:rFonts w:ascii="Cambria" w:eastAsia="Times New Roman" w:hAnsi="Cambria" w:cs="Verdana"/>
                <w:color w:val="000000"/>
              </w:rPr>
              <w:t>Nessun compenso</w:t>
            </w:r>
          </w:p>
        </w:tc>
      </w:tr>
    </w:tbl>
    <w:p w14:paraId="4677AF8D" w14:textId="77777777" w:rsidR="00BE743F" w:rsidRPr="00BE743F" w:rsidRDefault="00BE743F" w:rsidP="00BE743F">
      <w:pPr>
        <w:rPr>
          <w:rFonts w:eastAsia="Times New Roman"/>
        </w:rPr>
      </w:pPr>
      <w:bookmarkStart w:id="2" w:name="_Toc279338309"/>
      <w:bookmarkStart w:id="3" w:name="_Toc279482652"/>
      <w:bookmarkEnd w:id="2"/>
      <w:bookmarkEnd w:id="3"/>
    </w:p>
    <w:p w14:paraId="78969B8C" w14:textId="77777777" w:rsidR="00BE743F" w:rsidRPr="00E411C6" w:rsidRDefault="0087593E" w:rsidP="00BE743F">
      <w:pPr>
        <w:spacing w:after="60" w:line="288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E411C6">
        <w:rPr>
          <w:rFonts w:ascii="Cambria" w:hAnsi="Cambria"/>
          <w:color w:val="000000" w:themeColor="text1"/>
          <w:sz w:val="26"/>
          <w:szCs w:val="26"/>
        </w:rPr>
        <w:t>Per i Responsabili di s</w:t>
      </w:r>
      <w:r w:rsidR="005B1407" w:rsidRPr="00E411C6">
        <w:rPr>
          <w:rFonts w:ascii="Cambria" w:hAnsi="Cambria"/>
          <w:color w:val="000000" w:themeColor="text1"/>
          <w:sz w:val="26"/>
          <w:szCs w:val="26"/>
        </w:rPr>
        <w:t>truttura</w:t>
      </w:r>
      <w:r w:rsidR="006D07D4" w:rsidRPr="00E411C6">
        <w:rPr>
          <w:rFonts w:ascii="Cambria" w:hAnsi="Cambria"/>
          <w:color w:val="000000" w:themeColor="text1"/>
          <w:sz w:val="26"/>
          <w:szCs w:val="26"/>
        </w:rPr>
        <w:t>, la tabella si applica al valore della retribuzione di risultato (percentuale della retribuzione di posizione), prevista dall’Ente.</w:t>
      </w:r>
      <w:r w:rsidR="00F75187" w:rsidRPr="00E411C6">
        <w:rPr>
          <w:rFonts w:ascii="Cambria" w:hAnsi="Cambria"/>
          <w:color w:val="000000" w:themeColor="text1"/>
          <w:sz w:val="26"/>
          <w:szCs w:val="26"/>
        </w:rPr>
        <w:t xml:space="preserve"> Nel caso in cui</w:t>
      </w:r>
      <w:r w:rsidR="00520120" w:rsidRPr="00E411C6">
        <w:rPr>
          <w:rFonts w:ascii="Cambria" w:hAnsi="Cambria"/>
          <w:color w:val="000000" w:themeColor="text1"/>
          <w:sz w:val="26"/>
          <w:szCs w:val="26"/>
        </w:rPr>
        <w:t xml:space="preserve"> il peso medio degli obiettivi affidati</w:t>
      </w:r>
      <w:r w:rsidR="00EF7AAA" w:rsidRPr="00E411C6">
        <w:rPr>
          <w:rFonts w:ascii="Cambria" w:hAnsi="Cambria"/>
          <w:color w:val="000000" w:themeColor="text1"/>
          <w:sz w:val="26"/>
          <w:szCs w:val="26"/>
        </w:rPr>
        <w:t xml:space="preserve"> risultasse particolarmente differenziato</w:t>
      </w:r>
      <w:r w:rsidR="00F75187" w:rsidRPr="00E411C6">
        <w:rPr>
          <w:rFonts w:ascii="Cambria" w:hAnsi="Cambria"/>
          <w:color w:val="000000" w:themeColor="text1"/>
          <w:sz w:val="26"/>
          <w:szCs w:val="26"/>
        </w:rPr>
        <w:t xml:space="preserve">, tra i responsabili </w:t>
      </w:r>
      <w:r w:rsidR="00130471" w:rsidRPr="00E411C6">
        <w:rPr>
          <w:rFonts w:ascii="Cambria" w:hAnsi="Cambria"/>
          <w:color w:val="000000" w:themeColor="text1"/>
          <w:sz w:val="26"/>
          <w:szCs w:val="26"/>
        </w:rPr>
        <w:t>di s</w:t>
      </w:r>
      <w:r w:rsidR="005B1407" w:rsidRPr="00E411C6">
        <w:rPr>
          <w:rFonts w:ascii="Cambria" w:hAnsi="Cambria"/>
          <w:color w:val="000000" w:themeColor="text1"/>
          <w:sz w:val="26"/>
          <w:szCs w:val="26"/>
        </w:rPr>
        <w:t>tr</w:t>
      </w:r>
      <w:r w:rsidR="0054345E" w:rsidRPr="00E411C6">
        <w:rPr>
          <w:rFonts w:ascii="Cambria" w:hAnsi="Cambria"/>
          <w:color w:val="000000" w:themeColor="text1"/>
          <w:sz w:val="26"/>
          <w:szCs w:val="26"/>
        </w:rPr>
        <w:t>u</w:t>
      </w:r>
      <w:r w:rsidR="005B1407" w:rsidRPr="00E411C6">
        <w:rPr>
          <w:rFonts w:ascii="Cambria" w:hAnsi="Cambria"/>
          <w:color w:val="000000" w:themeColor="text1"/>
          <w:sz w:val="26"/>
          <w:szCs w:val="26"/>
        </w:rPr>
        <w:t>ttura</w:t>
      </w:r>
      <w:r w:rsidR="00F75187" w:rsidRPr="00E411C6">
        <w:rPr>
          <w:rFonts w:ascii="Cambria" w:hAnsi="Cambria"/>
          <w:color w:val="000000" w:themeColor="text1"/>
          <w:sz w:val="26"/>
          <w:szCs w:val="26"/>
        </w:rPr>
        <w:t xml:space="preserve">, potrà </w:t>
      </w:r>
      <w:r w:rsidR="00277C6F">
        <w:rPr>
          <w:rFonts w:ascii="Cambria" w:hAnsi="Cambria"/>
          <w:color w:val="000000" w:themeColor="text1"/>
          <w:sz w:val="26"/>
          <w:szCs w:val="26"/>
        </w:rPr>
        <w:t>predeterminarsi (e, quindi</w:t>
      </w:r>
      <w:r w:rsidR="00277C6F" w:rsidRPr="00E411C6">
        <w:rPr>
          <w:rFonts w:ascii="Cambria" w:hAnsi="Cambria"/>
          <w:color w:val="000000" w:themeColor="text1"/>
          <w:sz w:val="26"/>
          <w:szCs w:val="26"/>
        </w:rPr>
        <w:t xml:space="preserve">, </w:t>
      </w:r>
      <w:r w:rsidR="00277C6F">
        <w:rPr>
          <w:rFonts w:ascii="Cambria" w:hAnsi="Cambria"/>
          <w:color w:val="000000" w:themeColor="text1"/>
          <w:sz w:val="26"/>
          <w:szCs w:val="26"/>
        </w:rPr>
        <w:t>in fase preliminare, all’inizio di ciascun anno)</w:t>
      </w:r>
      <w:r w:rsidR="00F75187" w:rsidRPr="00E411C6">
        <w:rPr>
          <w:rFonts w:ascii="Cambria" w:hAnsi="Cambria"/>
          <w:color w:val="000000" w:themeColor="text1"/>
          <w:sz w:val="26"/>
          <w:szCs w:val="26"/>
        </w:rPr>
        <w:t xml:space="preserve">, per </w:t>
      </w:r>
      <w:r w:rsidR="00130471" w:rsidRPr="00E411C6">
        <w:rPr>
          <w:rFonts w:ascii="Cambria" w:hAnsi="Cambria"/>
          <w:color w:val="000000" w:themeColor="text1"/>
          <w:sz w:val="26"/>
          <w:szCs w:val="26"/>
        </w:rPr>
        <w:t>ognuno di</w:t>
      </w:r>
      <w:r w:rsidR="00F75187" w:rsidRPr="00E411C6">
        <w:rPr>
          <w:rFonts w:ascii="Cambria" w:hAnsi="Cambria"/>
          <w:color w:val="000000" w:themeColor="text1"/>
          <w:sz w:val="26"/>
          <w:szCs w:val="26"/>
        </w:rPr>
        <w:t xml:space="preserve"> </w:t>
      </w:r>
      <w:r w:rsidR="00130471" w:rsidRPr="00E411C6">
        <w:rPr>
          <w:rFonts w:ascii="Cambria" w:hAnsi="Cambria"/>
          <w:color w:val="000000" w:themeColor="text1"/>
          <w:sz w:val="26"/>
          <w:szCs w:val="26"/>
        </w:rPr>
        <w:t>essi</w:t>
      </w:r>
      <w:r w:rsidR="00F75187" w:rsidRPr="00E411C6">
        <w:rPr>
          <w:rFonts w:ascii="Cambria" w:hAnsi="Cambria"/>
          <w:color w:val="000000" w:themeColor="text1"/>
          <w:sz w:val="26"/>
          <w:szCs w:val="26"/>
        </w:rPr>
        <w:t xml:space="preserve">, una commisurata diversificazione del valore massimo della retribuzione di risultato attribuibile (differenziando, </w:t>
      </w:r>
      <w:r w:rsidR="00277C6F">
        <w:rPr>
          <w:rFonts w:ascii="Cambria" w:hAnsi="Cambria"/>
          <w:color w:val="000000" w:themeColor="text1"/>
          <w:sz w:val="26"/>
          <w:szCs w:val="26"/>
        </w:rPr>
        <w:t>pertanto</w:t>
      </w:r>
      <w:r w:rsidR="00F75187" w:rsidRPr="00E411C6">
        <w:rPr>
          <w:rFonts w:ascii="Cambria" w:hAnsi="Cambria"/>
          <w:color w:val="000000" w:themeColor="text1"/>
          <w:sz w:val="26"/>
          <w:szCs w:val="26"/>
        </w:rPr>
        <w:t xml:space="preserve">, la percentuale della retribuzione di posizione da riconoscersi a titolo di retribuzione di risultato). </w:t>
      </w:r>
    </w:p>
    <w:p w14:paraId="44DA3635" w14:textId="77777777" w:rsidR="006D07D4" w:rsidRPr="00E411C6" w:rsidRDefault="006D07D4" w:rsidP="0090287C">
      <w:pPr>
        <w:spacing w:after="60" w:line="288" w:lineRule="auto"/>
        <w:jc w:val="both"/>
        <w:rPr>
          <w:rFonts w:ascii="Cambria" w:hAnsi="Cambria"/>
          <w:sz w:val="26"/>
          <w:szCs w:val="26"/>
        </w:rPr>
      </w:pPr>
      <w:r w:rsidRPr="00E411C6">
        <w:rPr>
          <w:rFonts w:ascii="Cambria" w:hAnsi="Cambria"/>
          <w:sz w:val="26"/>
          <w:szCs w:val="26"/>
        </w:rPr>
        <w:t xml:space="preserve">Per i dipendenti, la tabella si applica al valore </w:t>
      </w:r>
      <w:r w:rsidR="0090287C" w:rsidRPr="00E411C6">
        <w:rPr>
          <w:rFonts w:ascii="Cambria" w:hAnsi="Cambria"/>
          <w:sz w:val="26"/>
          <w:szCs w:val="26"/>
        </w:rPr>
        <w:t>dei compensi previsti,</w:t>
      </w:r>
      <w:r w:rsidRPr="00E411C6">
        <w:rPr>
          <w:rFonts w:ascii="Cambria" w:hAnsi="Cambria"/>
          <w:sz w:val="26"/>
          <w:szCs w:val="26"/>
        </w:rPr>
        <w:t xml:space="preserve"> </w:t>
      </w:r>
      <w:r w:rsidR="0090287C" w:rsidRPr="00E411C6">
        <w:rPr>
          <w:rFonts w:ascii="Cambria" w:hAnsi="Cambria"/>
          <w:sz w:val="26"/>
          <w:szCs w:val="26"/>
        </w:rPr>
        <w:t xml:space="preserve">in base a quanto stabilito </w:t>
      </w:r>
      <w:r w:rsidRPr="00E411C6">
        <w:rPr>
          <w:rFonts w:ascii="Cambria" w:hAnsi="Cambria"/>
          <w:sz w:val="26"/>
          <w:szCs w:val="26"/>
        </w:rPr>
        <w:t>dal Contratto collettivo decentrato di lavoro.</w:t>
      </w:r>
    </w:p>
    <w:p w14:paraId="025E5BE9" w14:textId="77777777" w:rsidR="00856571" w:rsidRPr="00E411C6" w:rsidRDefault="009D4308" w:rsidP="0090287C">
      <w:pPr>
        <w:spacing w:after="60" w:line="288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E411C6">
        <w:rPr>
          <w:rFonts w:ascii="Cambria" w:hAnsi="Cambria"/>
          <w:color w:val="000000" w:themeColor="text1"/>
          <w:sz w:val="26"/>
          <w:szCs w:val="26"/>
        </w:rPr>
        <w:t>Riguardo alle progressioni economiche orizzontali</w:t>
      </w:r>
      <w:r w:rsidR="004C4815" w:rsidRPr="00E411C6">
        <w:rPr>
          <w:rFonts w:ascii="Cambria" w:hAnsi="Cambria"/>
          <w:color w:val="000000" w:themeColor="text1"/>
          <w:sz w:val="26"/>
          <w:szCs w:val="26"/>
        </w:rPr>
        <w:t xml:space="preserve">, la presente metodologia </w:t>
      </w:r>
      <w:r w:rsidR="005B1407" w:rsidRPr="00E411C6">
        <w:rPr>
          <w:rFonts w:ascii="Cambria" w:hAnsi="Cambria"/>
          <w:color w:val="000000" w:themeColor="text1"/>
          <w:sz w:val="26"/>
          <w:szCs w:val="26"/>
        </w:rPr>
        <w:t>trova</w:t>
      </w:r>
      <w:r w:rsidR="004C4815" w:rsidRPr="00E411C6">
        <w:rPr>
          <w:rFonts w:ascii="Cambria" w:hAnsi="Cambria"/>
          <w:color w:val="000000" w:themeColor="text1"/>
          <w:sz w:val="26"/>
          <w:szCs w:val="26"/>
        </w:rPr>
        <w:t xml:space="preserve"> applica</w:t>
      </w:r>
      <w:r w:rsidR="005B1407" w:rsidRPr="00E411C6">
        <w:rPr>
          <w:rFonts w:ascii="Cambria" w:hAnsi="Cambria"/>
          <w:color w:val="000000" w:themeColor="text1"/>
          <w:sz w:val="26"/>
          <w:szCs w:val="26"/>
        </w:rPr>
        <w:t>zione nel rispetto delle restanti</w:t>
      </w:r>
      <w:r w:rsidR="004C4815" w:rsidRPr="00E411C6">
        <w:rPr>
          <w:rFonts w:ascii="Cambria" w:hAnsi="Cambria"/>
          <w:color w:val="000000" w:themeColor="text1"/>
          <w:sz w:val="26"/>
          <w:szCs w:val="26"/>
        </w:rPr>
        <w:t xml:space="preserve"> condizioni dettate dal contratto nazionale e nei </w:t>
      </w:r>
      <w:r w:rsidR="00130471" w:rsidRPr="00E411C6">
        <w:rPr>
          <w:rFonts w:ascii="Cambria" w:hAnsi="Cambria"/>
          <w:color w:val="000000" w:themeColor="text1"/>
          <w:sz w:val="26"/>
          <w:szCs w:val="26"/>
        </w:rPr>
        <w:t>limiti di finanziamento previsto</w:t>
      </w:r>
      <w:r w:rsidR="004C4815" w:rsidRPr="00E411C6">
        <w:rPr>
          <w:rFonts w:ascii="Cambria" w:hAnsi="Cambria"/>
          <w:color w:val="000000" w:themeColor="text1"/>
          <w:sz w:val="26"/>
          <w:szCs w:val="26"/>
        </w:rPr>
        <w:t xml:space="preserve"> dal Contratto decentrato, il quale dovrà pure definire le precedenze nel caso di parità di punteggio e il valore minimo della valutazione necessario per l’inclusione nelle relative graduatorie. </w:t>
      </w:r>
    </w:p>
    <w:p w14:paraId="78F8A626" w14:textId="77777777" w:rsidR="00383FD0" w:rsidRPr="00E411C6" w:rsidRDefault="00856571" w:rsidP="00383FD0">
      <w:pPr>
        <w:spacing w:after="60" w:line="288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E411C6">
        <w:rPr>
          <w:rFonts w:ascii="Cambria" w:hAnsi="Cambria"/>
          <w:color w:val="000000" w:themeColor="text1"/>
          <w:sz w:val="26"/>
          <w:szCs w:val="26"/>
        </w:rPr>
        <w:t xml:space="preserve">Come evidenziato dalla precedente tabella, una valutazione inferiore a punti 50 è considerata negativa ed essa rileva ai fini dell’accertamento della responsabilità dirigenziale e ai fini dell’irrogazione del licenziamento disciplinare ai sensi dell’articolo 55-quater, comma 1, lettera f-quinquies), del decreto legislativo 30 marzo 2001, n. 165. </w:t>
      </w:r>
    </w:p>
    <w:p w14:paraId="7073604F" w14:textId="77777777" w:rsidR="002E198C" w:rsidRDefault="00383FD0" w:rsidP="00002F7F">
      <w:pPr>
        <w:spacing w:after="60" w:line="288" w:lineRule="auto"/>
        <w:jc w:val="both"/>
        <w:rPr>
          <w:rFonts w:ascii="Cambria" w:hAnsi="Cambria" w:cstheme="minorBidi"/>
          <w:color w:val="000000" w:themeColor="text1"/>
          <w:sz w:val="26"/>
          <w:szCs w:val="26"/>
          <w:lang w:eastAsia="en-US"/>
        </w:rPr>
      </w:pPr>
      <w:r w:rsidRPr="00E411C6">
        <w:rPr>
          <w:rFonts w:ascii="Cambria" w:hAnsi="Cambria" w:cstheme="minorBidi"/>
          <w:color w:val="000000" w:themeColor="text1"/>
          <w:sz w:val="26"/>
          <w:szCs w:val="26"/>
          <w:lang w:eastAsia="en-US"/>
        </w:rPr>
        <w:lastRenderedPageBreak/>
        <w:t>In ogni caso, prima di procedere alla definitiva formalizzazione di una valutazione negativa come sopra definita, debbono essere acquisite, in contraddittorio, le valutazioni dell’interessato, anche assistito dalla organizzazione sindacale cui aderisce o conferisce mandato o da persona di sua fiducia.</w:t>
      </w:r>
    </w:p>
    <w:p w14:paraId="3919A891" w14:textId="77777777" w:rsidR="002E198C" w:rsidRDefault="002E198C" w:rsidP="00002F7F">
      <w:pPr>
        <w:spacing w:after="60" w:line="288" w:lineRule="auto"/>
        <w:jc w:val="both"/>
        <w:rPr>
          <w:rFonts w:ascii="Cambria" w:hAnsi="Cambria" w:cstheme="minorBidi"/>
          <w:color w:val="000000" w:themeColor="text1"/>
          <w:sz w:val="26"/>
          <w:szCs w:val="26"/>
          <w:lang w:eastAsia="en-US"/>
        </w:rPr>
      </w:pPr>
    </w:p>
    <w:sectPr w:rsidR="002E198C" w:rsidSect="00B91215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026A" w14:textId="77777777" w:rsidR="004E3444" w:rsidRDefault="004E3444" w:rsidP="005D4FCE">
      <w:r>
        <w:separator/>
      </w:r>
    </w:p>
  </w:endnote>
  <w:endnote w:type="continuationSeparator" w:id="0">
    <w:p w14:paraId="24B3F07C" w14:textId="77777777" w:rsidR="004E3444" w:rsidRDefault="004E3444" w:rsidP="005D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36533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p w14:paraId="7E8EF24F" w14:textId="77777777" w:rsidR="00CF3E2B" w:rsidRPr="00C1075B" w:rsidRDefault="00706C27">
        <w:pPr>
          <w:pStyle w:val="Pidipagina"/>
          <w:jc w:val="right"/>
          <w:rPr>
            <w:rFonts w:ascii="Cambria" w:hAnsi="Cambria"/>
            <w:sz w:val="16"/>
            <w:szCs w:val="16"/>
          </w:rPr>
        </w:pPr>
        <w:r w:rsidRPr="00C1075B">
          <w:rPr>
            <w:rFonts w:ascii="Cambria" w:hAnsi="Cambria"/>
            <w:sz w:val="16"/>
            <w:szCs w:val="16"/>
          </w:rPr>
          <w:fldChar w:fldCharType="begin"/>
        </w:r>
        <w:r w:rsidR="00CF3E2B" w:rsidRPr="00C1075B">
          <w:rPr>
            <w:rFonts w:ascii="Cambria" w:hAnsi="Cambria"/>
            <w:sz w:val="16"/>
            <w:szCs w:val="16"/>
          </w:rPr>
          <w:instrText>PAGE   \* MERGEFORMAT</w:instrText>
        </w:r>
        <w:r w:rsidRPr="00C1075B">
          <w:rPr>
            <w:rFonts w:ascii="Cambria" w:hAnsi="Cambria"/>
            <w:sz w:val="16"/>
            <w:szCs w:val="16"/>
          </w:rPr>
          <w:fldChar w:fldCharType="separate"/>
        </w:r>
        <w:r w:rsidR="00731D48">
          <w:rPr>
            <w:rFonts w:ascii="Cambria" w:hAnsi="Cambria"/>
            <w:noProof/>
            <w:sz w:val="16"/>
            <w:szCs w:val="16"/>
          </w:rPr>
          <w:t>1</w:t>
        </w:r>
        <w:r w:rsidRPr="00C1075B">
          <w:rPr>
            <w:rFonts w:ascii="Cambria" w:hAnsi="Cambria"/>
            <w:sz w:val="16"/>
            <w:szCs w:val="16"/>
          </w:rPr>
          <w:fldChar w:fldCharType="end"/>
        </w:r>
      </w:p>
    </w:sdtContent>
  </w:sdt>
  <w:p w14:paraId="4CF2BEA7" w14:textId="77777777" w:rsidR="00CF3E2B" w:rsidRDefault="00CF3E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0F4A" w14:textId="77777777" w:rsidR="004E3444" w:rsidRDefault="004E3444" w:rsidP="005D4FCE">
      <w:r>
        <w:separator/>
      </w:r>
    </w:p>
  </w:footnote>
  <w:footnote w:type="continuationSeparator" w:id="0">
    <w:p w14:paraId="79F5CE8D" w14:textId="77777777" w:rsidR="004E3444" w:rsidRDefault="004E3444" w:rsidP="005D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F379" w14:textId="77777777" w:rsidR="00CF3E2B" w:rsidRDefault="00CF3E2B">
    <w:pPr>
      <w:pStyle w:val="Intestazione"/>
    </w:pPr>
  </w:p>
  <w:p w14:paraId="5B9944AB" w14:textId="77777777" w:rsidR="00CF3E2B" w:rsidRDefault="00CF3E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7516"/>
    <w:multiLevelType w:val="hybridMultilevel"/>
    <w:tmpl w:val="30F0E3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2DBF"/>
    <w:multiLevelType w:val="hybridMultilevel"/>
    <w:tmpl w:val="4852C9A0"/>
    <w:lvl w:ilvl="0" w:tplc="05EC8444">
      <w:start w:val="1"/>
      <w:numFmt w:val="bullet"/>
      <w:lvlText w:val=""/>
      <w:lvlJc w:val="left"/>
      <w:pPr>
        <w:ind w:left="10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" w15:restartNumberingAfterBreak="0">
    <w:nsid w:val="0FFF5657"/>
    <w:multiLevelType w:val="hybridMultilevel"/>
    <w:tmpl w:val="2C5A0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E1053"/>
    <w:multiLevelType w:val="hybridMultilevel"/>
    <w:tmpl w:val="EE5A756C"/>
    <w:lvl w:ilvl="0" w:tplc="05EC8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65C"/>
    <w:multiLevelType w:val="hybridMultilevel"/>
    <w:tmpl w:val="B22604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463FA5"/>
    <w:multiLevelType w:val="hybridMultilevel"/>
    <w:tmpl w:val="B4BE751E"/>
    <w:lvl w:ilvl="0" w:tplc="05EC8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A3BD5"/>
    <w:multiLevelType w:val="multilevel"/>
    <w:tmpl w:val="6E3EC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D16DB8"/>
    <w:multiLevelType w:val="hybridMultilevel"/>
    <w:tmpl w:val="12E2E8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418F4"/>
    <w:multiLevelType w:val="hybridMultilevel"/>
    <w:tmpl w:val="007E3D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C6E12"/>
    <w:multiLevelType w:val="hybridMultilevel"/>
    <w:tmpl w:val="CFFA4E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625719"/>
    <w:multiLevelType w:val="hybridMultilevel"/>
    <w:tmpl w:val="4FE21BAE"/>
    <w:lvl w:ilvl="0" w:tplc="05EC8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33B3D"/>
    <w:multiLevelType w:val="multilevel"/>
    <w:tmpl w:val="3A540DA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3127DDA"/>
    <w:multiLevelType w:val="multilevel"/>
    <w:tmpl w:val="F008F140"/>
    <w:lvl w:ilvl="0">
      <w:start w:val="2"/>
      <w:numFmt w:val="decimal"/>
      <w:lvlText w:val="%1"/>
      <w:lvlJc w:val="left"/>
      <w:pPr>
        <w:ind w:left="405" w:hanging="405"/>
      </w:pPr>
      <w:rPr>
        <w:rFonts w:asciiTheme="majorHAnsi" w:hAnsiTheme="majorHAnsi" w:hint="default"/>
        <w:b w:val="0"/>
        <w:color w:val="2E74B5" w:themeColor="accent1" w:themeShade="BF"/>
        <w:sz w:val="32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asciiTheme="majorHAnsi" w:hAnsiTheme="majorHAnsi" w:hint="default"/>
        <w:b w:val="0"/>
        <w:color w:val="2E74B5" w:themeColor="accent1" w:themeShade="BF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  <w:b w:val="0"/>
        <w:color w:val="2E74B5" w:themeColor="accent1" w:themeShade="BF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ajorHAnsi" w:hAnsiTheme="majorHAnsi" w:hint="default"/>
        <w:b w:val="0"/>
        <w:color w:val="2E74B5" w:themeColor="accent1" w:themeShade="BF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hAnsiTheme="majorHAnsi" w:hint="default"/>
        <w:b w:val="0"/>
        <w:color w:val="2E74B5" w:themeColor="accent1" w:themeShade="BF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ajorHAnsi" w:hAnsiTheme="majorHAnsi" w:hint="default"/>
        <w:b w:val="0"/>
        <w:color w:val="2E74B5" w:themeColor="accent1" w:themeShade="BF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hAnsiTheme="majorHAnsi" w:hint="default"/>
        <w:b w:val="0"/>
        <w:color w:val="2E74B5" w:themeColor="accent1" w:themeShade="BF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ajorHAnsi" w:hAnsiTheme="majorHAnsi" w:hint="default"/>
        <w:b w:val="0"/>
        <w:color w:val="2E74B5" w:themeColor="accent1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hAnsiTheme="majorHAnsi" w:hint="default"/>
        <w:b w:val="0"/>
        <w:color w:val="2E74B5" w:themeColor="accent1" w:themeShade="BF"/>
        <w:sz w:val="32"/>
      </w:rPr>
    </w:lvl>
  </w:abstractNum>
  <w:abstractNum w:abstractNumId="13" w15:restartNumberingAfterBreak="0">
    <w:nsid w:val="3D6223C6"/>
    <w:multiLevelType w:val="hybridMultilevel"/>
    <w:tmpl w:val="A74ECD7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4A16B6"/>
    <w:multiLevelType w:val="multilevel"/>
    <w:tmpl w:val="D8060A5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2A748A1"/>
    <w:multiLevelType w:val="multilevel"/>
    <w:tmpl w:val="6E3EC84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41C1DAF"/>
    <w:multiLevelType w:val="hybridMultilevel"/>
    <w:tmpl w:val="156658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64B4A"/>
    <w:multiLevelType w:val="multilevel"/>
    <w:tmpl w:val="6E3EC84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AFA16A3"/>
    <w:multiLevelType w:val="hybridMultilevel"/>
    <w:tmpl w:val="29225C6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8D7FCC"/>
    <w:multiLevelType w:val="hybridMultilevel"/>
    <w:tmpl w:val="340054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F10F0"/>
    <w:multiLevelType w:val="hybridMultilevel"/>
    <w:tmpl w:val="13B0CC18"/>
    <w:lvl w:ilvl="0" w:tplc="05EC8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529EB"/>
    <w:multiLevelType w:val="multilevel"/>
    <w:tmpl w:val="C9403D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4AE1ADF"/>
    <w:multiLevelType w:val="hybridMultilevel"/>
    <w:tmpl w:val="D31433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E66CE6"/>
    <w:multiLevelType w:val="hybridMultilevel"/>
    <w:tmpl w:val="EFFC4A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7"/>
  </w:num>
  <w:num w:numId="5">
    <w:abstractNumId w:val="2"/>
  </w:num>
  <w:num w:numId="6">
    <w:abstractNumId w:val="20"/>
  </w:num>
  <w:num w:numId="7">
    <w:abstractNumId w:val="10"/>
  </w:num>
  <w:num w:numId="8">
    <w:abstractNumId w:val="14"/>
  </w:num>
  <w:num w:numId="9">
    <w:abstractNumId w:val="5"/>
  </w:num>
  <w:num w:numId="10">
    <w:abstractNumId w:val="18"/>
  </w:num>
  <w:num w:numId="11">
    <w:abstractNumId w:val="4"/>
  </w:num>
  <w:num w:numId="12">
    <w:abstractNumId w:val="13"/>
  </w:num>
  <w:num w:numId="13">
    <w:abstractNumId w:val="3"/>
  </w:num>
  <w:num w:numId="14">
    <w:abstractNumId w:val="12"/>
  </w:num>
  <w:num w:numId="15">
    <w:abstractNumId w:val="21"/>
  </w:num>
  <w:num w:numId="16">
    <w:abstractNumId w:val="11"/>
  </w:num>
  <w:num w:numId="17">
    <w:abstractNumId w:val="15"/>
  </w:num>
  <w:num w:numId="18">
    <w:abstractNumId w:val="17"/>
  </w:num>
  <w:num w:numId="19">
    <w:abstractNumId w:val="1"/>
  </w:num>
  <w:num w:numId="20">
    <w:abstractNumId w:val="9"/>
  </w:num>
  <w:num w:numId="21">
    <w:abstractNumId w:val="23"/>
  </w:num>
  <w:num w:numId="22">
    <w:abstractNumId w:val="16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BB2"/>
    <w:rsid w:val="0000111D"/>
    <w:rsid w:val="00001D9A"/>
    <w:rsid w:val="00002F7F"/>
    <w:rsid w:val="00003DCC"/>
    <w:rsid w:val="000042F3"/>
    <w:rsid w:val="000053C2"/>
    <w:rsid w:val="00007424"/>
    <w:rsid w:val="00013539"/>
    <w:rsid w:val="000141E5"/>
    <w:rsid w:val="000149A6"/>
    <w:rsid w:val="0003015C"/>
    <w:rsid w:val="000310F8"/>
    <w:rsid w:val="00043EA6"/>
    <w:rsid w:val="00046EEA"/>
    <w:rsid w:val="0005465C"/>
    <w:rsid w:val="0005746F"/>
    <w:rsid w:val="00057542"/>
    <w:rsid w:val="00070E2A"/>
    <w:rsid w:val="0007504F"/>
    <w:rsid w:val="00080DA2"/>
    <w:rsid w:val="00086740"/>
    <w:rsid w:val="0009173A"/>
    <w:rsid w:val="000A0F03"/>
    <w:rsid w:val="000A7D70"/>
    <w:rsid w:val="000B127C"/>
    <w:rsid w:val="000D4648"/>
    <w:rsid w:val="000D71E6"/>
    <w:rsid w:val="000D7996"/>
    <w:rsid w:val="000F2543"/>
    <w:rsid w:val="000F3953"/>
    <w:rsid w:val="000F7701"/>
    <w:rsid w:val="00101235"/>
    <w:rsid w:val="001105ED"/>
    <w:rsid w:val="00111244"/>
    <w:rsid w:val="00111B26"/>
    <w:rsid w:val="00115FDC"/>
    <w:rsid w:val="00120085"/>
    <w:rsid w:val="001233AB"/>
    <w:rsid w:val="001238B7"/>
    <w:rsid w:val="00130471"/>
    <w:rsid w:val="0013279B"/>
    <w:rsid w:val="001332A7"/>
    <w:rsid w:val="00140041"/>
    <w:rsid w:val="00142A8C"/>
    <w:rsid w:val="00144E72"/>
    <w:rsid w:val="00145419"/>
    <w:rsid w:val="00160930"/>
    <w:rsid w:val="001627F2"/>
    <w:rsid w:val="001629D0"/>
    <w:rsid w:val="00164BD9"/>
    <w:rsid w:val="001662E9"/>
    <w:rsid w:val="001801E7"/>
    <w:rsid w:val="00184336"/>
    <w:rsid w:val="00191450"/>
    <w:rsid w:val="00195A01"/>
    <w:rsid w:val="001A08EA"/>
    <w:rsid w:val="001B3BD1"/>
    <w:rsid w:val="001E65F6"/>
    <w:rsid w:val="001F0FA8"/>
    <w:rsid w:val="001F7CEB"/>
    <w:rsid w:val="00200C83"/>
    <w:rsid w:val="00202175"/>
    <w:rsid w:val="002048D9"/>
    <w:rsid w:val="002074A1"/>
    <w:rsid w:val="00212864"/>
    <w:rsid w:val="00216122"/>
    <w:rsid w:val="00222C8E"/>
    <w:rsid w:val="00231675"/>
    <w:rsid w:val="00234C0C"/>
    <w:rsid w:val="00236782"/>
    <w:rsid w:val="002426D3"/>
    <w:rsid w:val="00254319"/>
    <w:rsid w:val="00256C4F"/>
    <w:rsid w:val="00263F05"/>
    <w:rsid w:val="0027095E"/>
    <w:rsid w:val="00273A0C"/>
    <w:rsid w:val="00277C6F"/>
    <w:rsid w:val="00284AEF"/>
    <w:rsid w:val="002869B3"/>
    <w:rsid w:val="002951C6"/>
    <w:rsid w:val="002A301F"/>
    <w:rsid w:val="002A32B9"/>
    <w:rsid w:val="002A605F"/>
    <w:rsid w:val="002B291A"/>
    <w:rsid w:val="002B3586"/>
    <w:rsid w:val="002C1827"/>
    <w:rsid w:val="002C1C8D"/>
    <w:rsid w:val="002C277F"/>
    <w:rsid w:val="002C6291"/>
    <w:rsid w:val="002D6166"/>
    <w:rsid w:val="002D6AFC"/>
    <w:rsid w:val="002E198C"/>
    <w:rsid w:val="002E3D54"/>
    <w:rsid w:val="002E568C"/>
    <w:rsid w:val="002E6C19"/>
    <w:rsid w:val="002F5890"/>
    <w:rsid w:val="002F7F1F"/>
    <w:rsid w:val="003009C9"/>
    <w:rsid w:val="003055EF"/>
    <w:rsid w:val="003226B6"/>
    <w:rsid w:val="003264B0"/>
    <w:rsid w:val="003277CE"/>
    <w:rsid w:val="003308CA"/>
    <w:rsid w:val="003320A6"/>
    <w:rsid w:val="00334BE4"/>
    <w:rsid w:val="0034682A"/>
    <w:rsid w:val="003637B6"/>
    <w:rsid w:val="003665DE"/>
    <w:rsid w:val="0036776B"/>
    <w:rsid w:val="003702D3"/>
    <w:rsid w:val="00370772"/>
    <w:rsid w:val="00371A21"/>
    <w:rsid w:val="00373458"/>
    <w:rsid w:val="003758F3"/>
    <w:rsid w:val="00377F36"/>
    <w:rsid w:val="00382447"/>
    <w:rsid w:val="00383FD0"/>
    <w:rsid w:val="00384B42"/>
    <w:rsid w:val="00385E99"/>
    <w:rsid w:val="0039341A"/>
    <w:rsid w:val="00397407"/>
    <w:rsid w:val="003A1304"/>
    <w:rsid w:val="003A3D97"/>
    <w:rsid w:val="003A7120"/>
    <w:rsid w:val="003B43BC"/>
    <w:rsid w:val="003C1576"/>
    <w:rsid w:val="003C4F70"/>
    <w:rsid w:val="003C612E"/>
    <w:rsid w:val="003D0F10"/>
    <w:rsid w:val="003D5E87"/>
    <w:rsid w:val="00402534"/>
    <w:rsid w:val="00404B42"/>
    <w:rsid w:val="00406549"/>
    <w:rsid w:val="00406CD2"/>
    <w:rsid w:val="00420E9D"/>
    <w:rsid w:val="00421A59"/>
    <w:rsid w:val="00435644"/>
    <w:rsid w:val="00435B6D"/>
    <w:rsid w:val="00455112"/>
    <w:rsid w:val="004575F5"/>
    <w:rsid w:val="004577D7"/>
    <w:rsid w:val="00461381"/>
    <w:rsid w:val="004630B9"/>
    <w:rsid w:val="004646CA"/>
    <w:rsid w:val="00471409"/>
    <w:rsid w:val="00482CF8"/>
    <w:rsid w:val="00495A53"/>
    <w:rsid w:val="004A489B"/>
    <w:rsid w:val="004B5BB2"/>
    <w:rsid w:val="004C13CA"/>
    <w:rsid w:val="004C2B38"/>
    <w:rsid w:val="004C4815"/>
    <w:rsid w:val="004C70DB"/>
    <w:rsid w:val="004C7163"/>
    <w:rsid w:val="004D30F2"/>
    <w:rsid w:val="004E04BE"/>
    <w:rsid w:val="004E0B15"/>
    <w:rsid w:val="004E3444"/>
    <w:rsid w:val="004E3B06"/>
    <w:rsid w:val="004E5723"/>
    <w:rsid w:val="004E5D37"/>
    <w:rsid w:val="004E72FC"/>
    <w:rsid w:val="004F4262"/>
    <w:rsid w:val="0050100B"/>
    <w:rsid w:val="00503019"/>
    <w:rsid w:val="00505BA1"/>
    <w:rsid w:val="0051064D"/>
    <w:rsid w:val="005159B9"/>
    <w:rsid w:val="005166CD"/>
    <w:rsid w:val="00517F11"/>
    <w:rsid w:val="00520120"/>
    <w:rsid w:val="005279CF"/>
    <w:rsid w:val="005365DF"/>
    <w:rsid w:val="00541543"/>
    <w:rsid w:val="00542F62"/>
    <w:rsid w:val="0054345E"/>
    <w:rsid w:val="005460B9"/>
    <w:rsid w:val="00551BC2"/>
    <w:rsid w:val="005574BB"/>
    <w:rsid w:val="0056016B"/>
    <w:rsid w:val="0056063F"/>
    <w:rsid w:val="00561C27"/>
    <w:rsid w:val="00572A77"/>
    <w:rsid w:val="005956C5"/>
    <w:rsid w:val="005A0487"/>
    <w:rsid w:val="005A07B9"/>
    <w:rsid w:val="005A0AE2"/>
    <w:rsid w:val="005A3504"/>
    <w:rsid w:val="005B1407"/>
    <w:rsid w:val="005B54CF"/>
    <w:rsid w:val="005C634E"/>
    <w:rsid w:val="005D077C"/>
    <w:rsid w:val="005D1333"/>
    <w:rsid w:val="005D4FCE"/>
    <w:rsid w:val="005D7CAB"/>
    <w:rsid w:val="005E5D4A"/>
    <w:rsid w:val="005E7FDA"/>
    <w:rsid w:val="005F1833"/>
    <w:rsid w:val="005F22A0"/>
    <w:rsid w:val="005F2EF1"/>
    <w:rsid w:val="005F5CEC"/>
    <w:rsid w:val="006007D7"/>
    <w:rsid w:val="00601FEA"/>
    <w:rsid w:val="006027B7"/>
    <w:rsid w:val="00606AFA"/>
    <w:rsid w:val="006148CD"/>
    <w:rsid w:val="006166CC"/>
    <w:rsid w:val="0062328D"/>
    <w:rsid w:val="006277D5"/>
    <w:rsid w:val="006303DC"/>
    <w:rsid w:val="00631B5A"/>
    <w:rsid w:val="00633655"/>
    <w:rsid w:val="00645B02"/>
    <w:rsid w:val="00650A11"/>
    <w:rsid w:val="00654AFD"/>
    <w:rsid w:val="00654F8C"/>
    <w:rsid w:val="006557D0"/>
    <w:rsid w:val="00656105"/>
    <w:rsid w:val="00660BC9"/>
    <w:rsid w:val="00661544"/>
    <w:rsid w:val="00664E73"/>
    <w:rsid w:val="00666E91"/>
    <w:rsid w:val="006720C4"/>
    <w:rsid w:val="006760CE"/>
    <w:rsid w:val="00677999"/>
    <w:rsid w:val="00681B11"/>
    <w:rsid w:val="006843E7"/>
    <w:rsid w:val="00687606"/>
    <w:rsid w:val="006A2827"/>
    <w:rsid w:val="006A2E32"/>
    <w:rsid w:val="006A4F24"/>
    <w:rsid w:val="006A575D"/>
    <w:rsid w:val="006A7F45"/>
    <w:rsid w:val="006C18F9"/>
    <w:rsid w:val="006D07D4"/>
    <w:rsid w:val="006D0870"/>
    <w:rsid w:val="006D2F69"/>
    <w:rsid w:val="006E0F2D"/>
    <w:rsid w:val="006E1E25"/>
    <w:rsid w:val="006E1FE2"/>
    <w:rsid w:val="006E2918"/>
    <w:rsid w:val="006E7372"/>
    <w:rsid w:val="00706C27"/>
    <w:rsid w:val="00707015"/>
    <w:rsid w:val="00710A69"/>
    <w:rsid w:val="007168A3"/>
    <w:rsid w:val="00716CE2"/>
    <w:rsid w:val="007271B6"/>
    <w:rsid w:val="00731D48"/>
    <w:rsid w:val="00734076"/>
    <w:rsid w:val="007371C1"/>
    <w:rsid w:val="00742FBF"/>
    <w:rsid w:val="007479E5"/>
    <w:rsid w:val="007504F0"/>
    <w:rsid w:val="00753E18"/>
    <w:rsid w:val="007763B7"/>
    <w:rsid w:val="007777AC"/>
    <w:rsid w:val="00784743"/>
    <w:rsid w:val="0078754E"/>
    <w:rsid w:val="007911DB"/>
    <w:rsid w:val="007A17FA"/>
    <w:rsid w:val="007A4AA2"/>
    <w:rsid w:val="007A4F87"/>
    <w:rsid w:val="007B44F9"/>
    <w:rsid w:val="007B4846"/>
    <w:rsid w:val="007C0372"/>
    <w:rsid w:val="007C1AF8"/>
    <w:rsid w:val="007C4EE9"/>
    <w:rsid w:val="007C5609"/>
    <w:rsid w:val="007D0FE9"/>
    <w:rsid w:val="007D3C1E"/>
    <w:rsid w:val="007E092F"/>
    <w:rsid w:val="007E344B"/>
    <w:rsid w:val="007E6C57"/>
    <w:rsid w:val="007F3FB4"/>
    <w:rsid w:val="007F723A"/>
    <w:rsid w:val="008065D7"/>
    <w:rsid w:val="00806B69"/>
    <w:rsid w:val="0081570E"/>
    <w:rsid w:val="00827136"/>
    <w:rsid w:val="0082797E"/>
    <w:rsid w:val="00827AFF"/>
    <w:rsid w:val="00827DE7"/>
    <w:rsid w:val="00844DAC"/>
    <w:rsid w:val="00854E5B"/>
    <w:rsid w:val="008551A5"/>
    <w:rsid w:val="00856571"/>
    <w:rsid w:val="0087593E"/>
    <w:rsid w:val="00894969"/>
    <w:rsid w:val="008B3343"/>
    <w:rsid w:val="008B4015"/>
    <w:rsid w:val="008B7DC0"/>
    <w:rsid w:val="008C1D97"/>
    <w:rsid w:val="008C46B4"/>
    <w:rsid w:val="008C7F78"/>
    <w:rsid w:val="008D05F4"/>
    <w:rsid w:val="008E001E"/>
    <w:rsid w:val="008F48B2"/>
    <w:rsid w:val="008F578B"/>
    <w:rsid w:val="008F60D1"/>
    <w:rsid w:val="009022A9"/>
    <w:rsid w:val="0090287C"/>
    <w:rsid w:val="00906C05"/>
    <w:rsid w:val="00906C81"/>
    <w:rsid w:val="00913D91"/>
    <w:rsid w:val="00916C32"/>
    <w:rsid w:val="00921AC4"/>
    <w:rsid w:val="00922FE6"/>
    <w:rsid w:val="00923AF6"/>
    <w:rsid w:val="00926971"/>
    <w:rsid w:val="00932E6F"/>
    <w:rsid w:val="0093654D"/>
    <w:rsid w:val="009571C6"/>
    <w:rsid w:val="0097295C"/>
    <w:rsid w:val="0097490C"/>
    <w:rsid w:val="009949AC"/>
    <w:rsid w:val="009A0DBD"/>
    <w:rsid w:val="009A23F1"/>
    <w:rsid w:val="009B7592"/>
    <w:rsid w:val="009C20A2"/>
    <w:rsid w:val="009C489F"/>
    <w:rsid w:val="009C5852"/>
    <w:rsid w:val="009C6BF1"/>
    <w:rsid w:val="009D3093"/>
    <w:rsid w:val="009D4308"/>
    <w:rsid w:val="009D4BD5"/>
    <w:rsid w:val="009E0C27"/>
    <w:rsid w:val="009E5EEC"/>
    <w:rsid w:val="009E5F63"/>
    <w:rsid w:val="009E66E2"/>
    <w:rsid w:val="009E671E"/>
    <w:rsid w:val="009F1AE7"/>
    <w:rsid w:val="009F6330"/>
    <w:rsid w:val="009F79E1"/>
    <w:rsid w:val="00A05537"/>
    <w:rsid w:val="00A05D87"/>
    <w:rsid w:val="00A11BDE"/>
    <w:rsid w:val="00A135FB"/>
    <w:rsid w:val="00A14554"/>
    <w:rsid w:val="00A153AD"/>
    <w:rsid w:val="00A24D16"/>
    <w:rsid w:val="00A340BA"/>
    <w:rsid w:val="00A3538D"/>
    <w:rsid w:val="00A401B7"/>
    <w:rsid w:val="00A42A12"/>
    <w:rsid w:val="00A52BD6"/>
    <w:rsid w:val="00A52C4F"/>
    <w:rsid w:val="00A62E7B"/>
    <w:rsid w:val="00A660EA"/>
    <w:rsid w:val="00A6654B"/>
    <w:rsid w:val="00A75794"/>
    <w:rsid w:val="00A84F8B"/>
    <w:rsid w:val="00A94001"/>
    <w:rsid w:val="00A97B57"/>
    <w:rsid w:val="00AA501B"/>
    <w:rsid w:val="00AA6570"/>
    <w:rsid w:val="00AB3615"/>
    <w:rsid w:val="00AB711F"/>
    <w:rsid w:val="00AD1D60"/>
    <w:rsid w:val="00AD5963"/>
    <w:rsid w:val="00AE0CBF"/>
    <w:rsid w:val="00AE4126"/>
    <w:rsid w:val="00AF0A58"/>
    <w:rsid w:val="00AF4430"/>
    <w:rsid w:val="00B00D22"/>
    <w:rsid w:val="00B01445"/>
    <w:rsid w:val="00B1594E"/>
    <w:rsid w:val="00B27F8F"/>
    <w:rsid w:val="00B3114F"/>
    <w:rsid w:val="00B36C50"/>
    <w:rsid w:val="00B36C54"/>
    <w:rsid w:val="00B406C1"/>
    <w:rsid w:val="00B42333"/>
    <w:rsid w:val="00B5306D"/>
    <w:rsid w:val="00B53F48"/>
    <w:rsid w:val="00B63705"/>
    <w:rsid w:val="00B839D6"/>
    <w:rsid w:val="00B90A44"/>
    <w:rsid w:val="00B91215"/>
    <w:rsid w:val="00B971E6"/>
    <w:rsid w:val="00BA1877"/>
    <w:rsid w:val="00BB491B"/>
    <w:rsid w:val="00BB62FB"/>
    <w:rsid w:val="00BC5DA4"/>
    <w:rsid w:val="00BD1444"/>
    <w:rsid w:val="00BD5BB4"/>
    <w:rsid w:val="00BD78F9"/>
    <w:rsid w:val="00BE17E4"/>
    <w:rsid w:val="00BE743F"/>
    <w:rsid w:val="00BF0910"/>
    <w:rsid w:val="00BF29A0"/>
    <w:rsid w:val="00BF2FF1"/>
    <w:rsid w:val="00BF5194"/>
    <w:rsid w:val="00BF5350"/>
    <w:rsid w:val="00C1075B"/>
    <w:rsid w:val="00C1205F"/>
    <w:rsid w:val="00C220A2"/>
    <w:rsid w:val="00C2262D"/>
    <w:rsid w:val="00C27002"/>
    <w:rsid w:val="00C31282"/>
    <w:rsid w:val="00C32770"/>
    <w:rsid w:val="00C33663"/>
    <w:rsid w:val="00C36723"/>
    <w:rsid w:val="00C3686A"/>
    <w:rsid w:val="00C3746F"/>
    <w:rsid w:val="00C43466"/>
    <w:rsid w:val="00C4726E"/>
    <w:rsid w:val="00C50074"/>
    <w:rsid w:val="00C53A3A"/>
    <w:rsid w:val="00C62EB6"/>
    <w:rsid w:val="00C640F8"/>
    <w:rsid w:val="00C647EE"/>
    <w:rsid w:val="00C72DCA"/>
    <w:rsid w:val="00C806A4"/>
    <w:rsid w:val="00C82ED0"/>
    <w:rsid w:val="00C836B3"/>
    <w:rsid w:val="00C86491"/>
    <w:rsid w:val="00C945AE"/>
    <w:rsid w:val="00CA5391"/>
    <w:rsid w:val="00CB1139"/>
    <w:rsid w:val="00CB25B2"/>
    <w:rsid w:val="00CB3F09"/>
    <w:rsid w:val="00CB5A85"/>
    <w:rsid w:val="00CC2FAA"/>
    <w:rsid w:val="00CE33E9"/>
    <w:rsid w:val="00CE5D2F"/>
    <w:rsid w:val="00CE6D9A"/>
    <w:rsid w:val="00CE7050"/>
    <w:rsid w:val="00CF3E2B"/>
    <w:rsid w:val="00CF4C40"/>
    <w:rsid w:val="00D0046C"/>
    <w:rsid w:val="00D07E79"/>
    <w:rsid w:val="00D136FB"/>
    <w:rsid w:val="00D13B8B"/>
    <w:rsid w:val="00D14241"/>
    <w:rsid w:val="00D1562F"/>
    <w:rsid w:val="00D351C8"/>
    <w:rsid w:val="00D45700"/>
    <w:rsid w:val="00D46205"/>
    <w:rsid w:val="00D56C27"/>
    <w:rsid w:val="00D6531B"/>
    <w:rsid w:val="00D71AEF"/>
    <w:rsid w:val="00D75D5A"/>
    <w:rsid w:val="00D76F40"/>
    <w:rsid w:val="00D80524"/>
    <w:rsid w:val="00D82236"/>
    <w:rsid w:val="00D90BAA"/>
    <w:rsid w:val="00D922CB"/>
    <w:rsid w:val="00DA2BF9"/>
    <w:rsid w:val="00DA7EE0"/>
    <w:rsid w:val="00DB07B0"/>
    <w:rsid w:val="00DB14AB"/>
    <w:rsid w:val="00DC0D7E"/>
    <w:rsid w:val="00DC1919"/>
    <w:rsid w:val="00DD4A10"/>
    <w:rsid w:val="00DF005B"/>
    <w:rsid w:val="00DF232A"/>
    <w:rsid w:val="00DF2E91"/>
    <w:rsid w:val="00DF34E5"/>
    <w:rsid w:val="00DF4CED"/>
    <w:rsid w:val="00DF5833"/>
    <w:rsid w:val="00E00478"/>
    <w:rsid w:val="00E004D8"/>
    <w:rsid w:val="00E127F1"/>
    <w:rsid w:val="00E167FB"/>
    <w:rsid w:val="00E16F36"/>
    <w:rsid w:val="00E2040F"/>
    <w:rsid w:val="00E20921"/>
    <w:rsid w:val="00E21C08"/>
    <w:rsid w:val="00E22130"/>
    <w:rsid w:val="00E2706F"/>
    <w:rsid w:val="00E3315F"/>
    <w:rsid w:val="00E367F8"/>
    <w:rsid w:val="00E411C6"/>
    <w:rsid w:val="00E412D1"/>
    <w:rsid w:val="00E42940"/>
    <w:rsid w:val="00E5455E"/>
    <w:rsid w:val="00E5541D"/>
    <w:rsid w:val="00E60A1F"/>
    <w:rsid w:val="00E62EC6"/>
    <w:rsid w:val="00E77AF8"/>
    <w:rsid w:val="00E82A7E"/>
    <w:rsid w:val="00E95C4E"/>
    <w:rsid w:val="00EA59A2"/>
    <w:rsid w:val="00EB19FC"/>
    <w:rsid w:val="00EB5DB1"/>
    <w:rsid w:val="00EC11B6"/>
    <w:rsid w:val="00EC4E2E"/>
    <w:rsid w:val="00ED09A6"/>
    <w:rsid w:val="00ED7B62"/>
    <w:rsid w:val="00EE2C58"/>
    <w:rsid w:val="00EE46FD"/>
    <w:rsid w:val="00EF0CBD"/>
    <w:rsid w:val="00EF53AF"/>
    <w:rsid w:val="00EF7AAA"/>
    <w:rsid w:val="00F02349"/>
    <w:rsid w:val="00F2185D"/>
    <w:rsid w:val="00F23A82"/>
    <w:rsid w:val="00F24CB0"/>
    <w:rsid w:val="00F3038A"/>
    <w:rsid w:val="00F33AEA"/>
    <w:rsid w:val="00F356F5"/>
    <w:rsid w:val="00F37027"/>
    <w:rsid w:val="00F66F23"/>
    <w:rsid w:val="00F678A7"/>
    <w:rsid w:val="00F702BB"/>
    <w:rsid w:val="00F72C47"/>
    <w:rsid w:val="00F75187"/>
    <w:rsid w:val="00F75A41"/>
    <w:rsid w:val="00F82542"/>
    <w:rsid w:val="00F83D78"/>
    <w:rsid w:val="00F83F7B"/>
    <w:rsid w:val="00F8448B"/>
    <w:rsid w:val="00F85AFE"/>
    <w:rsid w:val="00F93291"/>
    <w:rsid w:val="00F94BB7"/>
    <w:rsid w:val="00FB211D"/>
    <w:rsid w:val="00FC3FE1"/>
    <w:rsid w:val="00FC5BA3"/>
    <w:rsid w:val="00FD7F17"/>
    <w:rsid w:val="00FE24EA"/>
    <w:rsid w:val="00FE4A17"/>
    <w:rsid w:val="00FF47FB"/>
    <w:rsid w:val="00FF7C4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4B6F9"/>
  <w15:docId w15:val="{5A46D6CA-1291-4C7B-93E3-4CF32204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3FD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B5BB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4682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5B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D4FCE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D4FCE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5D4FCE"/>
    <w:rPr>
      <w:vertAlign w:val="superscript"/>
    </w:rPr>
  </w:style>
  <w:style w:type="table" w:styleId="Tabellasemplice1">
    <w:name w:val="Table Simple 1"/>
    <w:basedOn w:val="Tabellanormale"/>
    <w:uiPriority w:val="41"/>
    <w:rsid w:val="00D71AE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foelenco">
    <w:name w:val="List Paragraph"/>
    <w:basedOn w:val="Normale"/>
    <w:uiPriority w:val="34"/>
    <w:qFormat/>
    <w:rsid w:val="004E0B1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1075B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075B"/>
  </w:style>
  <w:style w:type="paragraph" w:styleId="Pidipagina">
    <w:name w:val="footer"/>
    <w:basedOn w:val="Normale"/>
    <w:link w:val="PidipaginaCarattere"/>
    <w:uiPriority w:val="99"/>
    <w:unhideWhenUsed/>
    <w:rsid w:val="00C1075B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75B"/>
  </w:style>
  <w:style w:type="paragraph" w:styleId="NormaleWeb">
    <w:name w:val="Normal (Web)"/>
    <w:basedOn w:val="Normale"/>
    <w:uiPriority w:val="99"/>
    <w:semiHidden/>
    <w:unhideWhenUsed/>
    <w:rsid w:val="006E7372"/>
    <w:pPr>
      <w:spacing w:before="100" w:beforeAutospacing="1" w:after="100" w:afterAutospacing="1"/>
    </w:pPr>
    <w:rPr>
      <w:rFonts w:eastAsiaTheme="minorEastAsi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468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3055EF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3055EF"/>
    <w:pPr>
      <w:spacing w:after="100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3055EF"/>
    <w:pPr>
      <w:spacing w:after="100" w:line="259" w:lineRule="auto"/>
      <w:ind w:left="220"/>
    </w:pPr>
    <w:rPr>
      <w:rFonts w:ascii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055EF"/>
    <w:rPr>
      <w:color w:val="0563C1" w:themeColor="hyperlink"/>
      <w:u w:val="single"/>
    </w:rPr>
  </w:style>
  <w:style w:type="character" w:customStyle="1" w:styleId="apple-style-span">
    <w:name w:val="apple-style-span"/>
    <w:basedOn w:val="Carpredefinitoparagrafo"/>
    <w:rsid w:val="00373458"/>
  </w:style>
  <w:style w:type="character" w:customStyle="1" w:styleId="apple-converted-space">
    <w:name w:val="apple-converted-space"/>
    <w:basedOn w:val="Carpredefinitoparagrafo"/>
    <w:rsid w:val="00373458"/>
  </w:style>
  <w:style w:type="character" w:styleId="Collegamentovisitato">
    <w:name w:val="FollowedHyperlink"/>
    <w:basedOn w:val="Carpredefinitoparagrafo"/>
    <w:uiPriority w:val="99"/>
    <w:semiHidden/>
    <w:unhideWhenUsed/>
    <w:rsid w:val="00EB19FC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2F7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2-colore21">
    <w:name w:val="Tabella griglia 2 - colore 21"/>
    <w:basedOn w:val="Tabellanormale"/>
    <w:uiPriority w:val="47"/>
    <w:rsid w:val="00E367F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E367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E367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laelenco7acolori-colore41">
    <w:name w:val="Tabella elenco 7 a colori - colore 41"/>
    <w:basedOn w:val="Tabellanormale"/>
    <w:uiPriority w:val="52"/>
    <w:rsid w:val="00E367F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21">
    <w:name w:val="Tabella elenco 7 a colori - colore 21"/>
    <w:basedOn w:val="Tabellanormale"/>
    <w:uiPriority w:val="52"/>
    <w:rsid w:val="00E367F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5scura-colore21">
    <w:name w:val="Tabella elenco 5 scura - colore 21"/>
    <w:basedOn w:val="Tabellanormale"/>
    <w:uiPriority w:val="50"/>
    <w:rsid w:val="00E367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E367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50"/>
    <w:rsid w:val="00E367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5scura1">
    <w:name w:val="Tabella griglia 5 scura1"/>
    <w:basedOn w:val="Tabellanormale"/>
    <w:uiPriority w:val="50"/>
    <w:rsid w:val="00E367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E367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D48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A3AC6-8767-424D-8894-903BC4D0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/>
      <vt:lpstr/>
      <vt:lpstr>La valutazione della performance</vt:lpstr>
      <vt:lpstr>Introduzione</vt:lpstr>
      <vt:lpstr>LA PERFORMANCE ORGANIZZATIVA</vt:lpstr>
      <vt:lpstr/>
      <vt:lpstr>LA PERFORMANCE INDIVIDUALE</vt:lpstr>
      <vt:lpstr>Contenuti ed ambiti</vt:lpstr>
      <vt:lpstr>    1.1. I fattori di apprezzamento</vt:lpstr>
      <vt:lpstr>    1.2. Il contesto </vt:lpstr>
      <vt:lpstr>I soggetti competenti per la valutazione         </vt:lpstr>
      <vt:lpstr>Il processo di valutazione          </vt:lpstr>
      <vt:lpstr>La valutazione dei Responsabili di struttura</vt:lpstr>
      <vt:lpstr>La valutazione dei dipendenti.</vt:lpstr>
      <vt:lpstr>Il raccordo tra valutazione e compensi.</vt:lpstr>
      <vt:lpstr>Le procedure di riesame delle valutazioni</vt:lpstr>
      <vt:lpstr>Allegati</vt:lpstr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Bertuzzi</cp:lastModifiedBy>
  <cp:revision>11</cp:revision>
  <cp:lastPrinted>2014-12-13T21:47:00Z</cp:lastPrinted>
  <dcterms:created xsi:type="dcterms:W3CDTF">2017-12-07T08:23:00Z</dcterms:created>
  <dcterms:modified xsi:type="dcterms:W3CDTF">2021-05-31T15:08:00Z</dcterms:modified>
</cp:coreProperties>
</file>