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0F" w:rsidRPr="007C54BD" w:rsidRDefault="00616C0F" w:rsidP="00616C0F">
      <w:pPr>
        <w:jc w:val="both"/>
        <w:rPr>
          <w:rFonts w:cs="Arial"/>
        </w:rPr>
      </w:pPr>
    </w:p>
    <w:tbl>
      <w:tblPr>
        <w:tblpPr w:leftFromText="141" w:rightFromText="141" w:vertAnchor="text" w:horzAnchor="margin" w:tblpY="-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67"/>
      </w:tblGrid>
      <w:tr w:rsidR="00616C0F" w:rsidTr="00A10208">
        <w:trPr>
          <w:trHeight w:val="2535"/>
        </w:trPr>
        <w:tc>
          <w:tcPr>
            <w:tcW w:w="9667" w:type="dxa"/>
            <w:tcBorders>
              <w:top w:val="nil"/>
              <w:left w:val="nil"/>
              <w:bottom w:val="nil"/>
              <w:right w:val="nil"/>
            </w:tcBorders>
          </w:tcPr>
          <w:p w:rsidR="00616C0F" w:rsidRDefault="00616C0F" w:rsidP="00A10208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009650" cy="1076325"/>
                  <wp:effectExtent l="19050" t="0" r="0" b="0"/>
                  <wp:docPr id="1" name="Immagine 1" descr="ALS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S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Bold" w:hAnsi="Helvetica-Bold" w:cs="Helvetica-Bold"/>
                <w:b/>
                <w:bCs/>
                <w:sz w:val="36"/>
                <w:szCs w:val="36"/>
              </w:rPr>
              <w:t xml:space="preserve">            </w:t>
            </w:r>
            <w:r>
              <w:rPr>
                <w:rFonts w:ascii="Helvetica-Bold" w:hAnsi="Helvetica-Bold" w:cs="Helvetica-Bold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866775" cy="1076325"/>
                  <wp:effectExtent l="19050" t="0" r="9525" b="0"/>
                  <wp:docPr id="2" name="Immagine 2" descr="CA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Bold" w:hAnsi="Helvetica-Bold" w:cs="Helvetica-Bold"/>
                <w:b/>
                <w:bCs/>
                <w:sz w:val="36"/>
                <w:szCs w:val="36"/>
              </w:rPr>
              <w:t xml:space="preserve">          </w:t>
            </w:r>
            <w:r>
              <w:rPr>
                <w:rFonts w:ascii="Helvetica-Bold" w:hAnsi="Helvetica-Bold" w:cs="Helvetica-Bold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962025" cy="1076325"/>
                  <wp:effectExtent l="19050" t="0" r="9525" b="0"/>
                  <wp:docPr id="3" name="Immagine 3" descr="fiorenz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orenz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elvetica-Bold" w:hAnsi="Helvetica-Bold" w:cs="Helvetica-Bold"/>
                <w:b/>
                <w:bCs/>
                <w:sz w:val="36"/>
                <w:szCs w:val="36"/>
              </w:rPr>
              <w:t xml:space="preserve">        </w:t>
            </w:r>
            <w:r>
              <w:rPr>
                <w:rFonts w:ascii="Helvetica-Bold" w:hAnsi="Helvetica-Bold" w:cs="Helvetica-Bold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123950" cy="1076325"/>
                  <wp:effectExtent l="19050" t="0" r="0" b="0"/>
                  <wp:docPr id="4" name="Immagine 4" descr="Pontenure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ontenure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C0F" w:rsidRDefault="00616C0F" w:rsidP="00A10208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 xml:space="preserve">Comune di  </w:t>
            </w:r>
            <w:proofErr w:type="spellStart"/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>Alseno</w:t>
            </w:r>
            <w:proofErr w:type="spellEnd"/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 xml:space="preserve">                          Comune di Cadeo                   Comune di Fiorenzuola             Comune di Pontenure</w:t>
            </w:r>
          </w:p>
          <w:p w:rsidR="00616C0F" w:rsidRDefault="00616C0F" w:rsidP="00A10208">
            <w:pPr>
              <w:autoSpaceDE w:val="0"/>
              <w:autoSpaceDN w:val="0"/>
              <w:adjustRightInd w:val="0"/>
              <w:jc w:val="both"/>
              <w:rPr>
                <w:rFonts w:ascii="Helvetica-Bold" w:hAnsi="Helvetica-Bold" w:cs="Helvetica-Bold"/>
                <w:b/>
                <w:bCs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d’Arda</w:t>
            </w:r>
          </w:p>
        </w:tc>
      </w:tr>
    </w:tbl>
    <w:p w:rsidR="00616C0F" w:rsidRDefault="00616C0F" w:rsidP="00616C0F">
      <w:pPr>
        <w:autoSpaceDE w:val="0"/>
        <w:autoSpaceDN w:val="0"/>
        <w:adjustRightInd w:val="0"/>
        <w:ind w:right="14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UNIONE DEI COMUNI DELLA VIA EMILIA PIACENTINA</w:t>
      </w:r>
    </w:p>
    <w:p w:rsidR="00616C0F" w:rsidRDefault="00616C0F" w:rsidP="00616C0F">
      <w:pPr>
        <w:autoSpaceDE w:val="0"/>
        <w:autoSpaceDN w:val="0"/>
        <w:adjustRightInd w:val="0"/>
        <w:ind w:right="1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 xml:space="preserve">PROVINCIA </w:t>
      </w:r>
      <w:proofErr w:type="spellStart"/>
      <w:r>
        <w:rPr>
          <w:rFonts w:ascii="Arial" w:hAnsi="Arial" w:cs="Arial"/>
          <w:b/>
          <w:bCs/>
        </w:rPr>
        <w:t>DI</w:t>
      </w:r>
      <w:proofErr w:type="spellEnd"/>
      <w:r>
        <w:rPr>
          <w:rFonts w:ascii="Arial" w:hAnsi="Arial" w:cs="Arial"/>
          <w:b/>
          <w:bCs/>
        </w:rPr>
        <w:t xml:space="preserve"> PIACENZA</w:t>
      </w:r>
    </w:p>
    <w:p w:rsidR="00616C0F" w:rsidRPr="00303E30" w:rsidRDefault="00616C0F" w:rsidP="00616C0F">
      <w:pPr>
        <w:spacing w:line="360" w:lineRule="auto"/>
        <w:ind w:right="1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2"/>
        </w:rPr>
        <w:t xml:space="preserve">                                                      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D96773">
        <w:rPr>
          <w:rFonts w:ascii="Arial" w:hAnsi="Arial" w:cs="Arial"/>
          <w:b/>
          <w:bCs/>
        </w:rPr>
        <w:t>DETERMINAZIONE  N.  17 DEL 07.</w:t>
      </w:r>
      <w:r>
        <w:rPr>
          <w:rFonts w:ascii="Arial" w:hAnsi="Arial" w:cs="Arial"/>
          <w:b/>
          <w:bCs/>
        </w:rPr>
        <w:t xml:space="preserve">03.2017  </w:t>
      </w:r>
      <w:r w:rsidRPr="00DC0C02">
        <w:rPr>
          <w:rFonts w:ascii="Arial" w:hAnsi="Arial" w:cs="Arial"/>
          <w:sz w:val="22"/>
          <w:szCs w:val="22"/>
        </w:rPr>
        <w:tab/>
      </w:r>
    </w:p>
    <w:p w:rsidR="00616C0F" w:rsidRPr="007C54BD" w:rsidRDefault="00616C0F" w:rsidP="00616C0F">
      <w:pPr>
        <w:pStyle w:val="Titolo1"/>
        <w:ind w:left="142" w:right="-12"/>
        <w:jc w:val="both"/>
        <w:rPr>
          <w:rFonts w:ascii="Arial" w:hAnsi="Arial" w:cs="Arial"/>
          <w:sz w:val="22"/>
          <w:szCs w:val="22"/>
        </w:rPr>
      </w:pPr>
      <w:r w:rsidRPr="007C54BD">
        <w:rPr>
          <w:rFonts w:ascii="Arial" w:hAnsi="Arial" w:cs="Arial"/>
          <w:sz w:val="22"/>
          <w:szCs w:val="22"/>
        </w:rPr>
        <w:t xml:space="preserve">OGGETTO: BANDO PER L’ASSEGNAZIONE </w:t>
      </w:r>
      <w:r w:rsidRPr="007C54BD">
        <w:rPr>
          <w:rFonts w:ascii="Arial" w:hAnsi="Arial" w:cs="Arial"/>
          <w:bCs w:val="0"/>
          <w:sz w:val="22"/>
          <w:szCs w:val="22"/>
        </w:rPr>
        <w:t>DEI POSTEGGI LIBER</w:t>
      </w:r>
      <w:r>
        <w:rPr>
          <w:rFonts w:ascii="Arial" w:hAnsi="Arial" w:cs="Arial"/>
          <w:bCs w:val="0"/>
          <w:sz w:val="22"/>
          <w:szCs w:val="22"/>
        </w:rPr>
        <w:t xml:space="preserve">I, CON CONTESTUALE RILASCIO </w:t>
      </w:r>
      <w:proofErr w:type="spellStart"/>
      <w:r>
        <w:rPr>
          <w:rFonts w:ascii="Arial" w:hAnsi="Arial" w:cs="Arial"/>
          <w:bCs w:val="0"/>
          <w:sz w:val="22"/>
          <w:szCs w:val="22"/>
        </w:rPr>
        <w:t>DI</w:t>
      </w:r>
      <w:proofErr w:type="spellEnd"/>
      <w:r>
        <w:rPr>
          <w:rFonts w:ascii="Arial" w:hAnsi="Arial" w:cs="Arial"/>
          <w:bCs w:val="0"/>
          <w:sz w:val="22"/>
          <w:szCs w:val="22"/>
        </w:rPr>
        <w:t xml:space="preserve"> </w:t>
      </w:r>
      <w:r w:rsidRPr="007C54BD">
        <w:rPr>
          <w:rFonts w:ascii="Arial" w:hAnsi="Arial" w:cs="Arial"/>
          <w:bCs w:val="0"/>
          <w:sz w:val="22"/>
          <w:szCs w:val="22"/>
        </w:rPr>
        <w:t xml:space="preserve">AUTORIZZAZIONE </w:t>
      </w:r>
      <w:r>
        <w:rPr>
          <w:rFonts w:ascii="Arial" w:hAnsi="Arial" w:cs="Arial"/>
          <w:bCs w:val="0"/>
          <w:sz w:val="22"/>
          <w:szCs w:val="22"/>
        </w:rPr>
        <w:t>TIPO A,</w:t>
      </w:r>
      <w:r w:rsidRPr="007C54BD">
        <w:rPr>
          <w:rFonts w:ascii="Arial" w:hAnsi="Arial" w:cs="Arial"/>
          <w:bCs w:val="0"/>
          <w:sz w:val="22"/>
          <w:szCs w:val="22"/>
        </w:rPr>
        <w:t xml:space="preserve"> NEL MERCATO ORDINARIO </w:t>
      </w:r>
      <w:proofErr w:type="spellStart"/>
      <w:r w:rsidRPr="007C54BD">
        <w:rPr>
          <w:rFonts w:ascii="Arial" w:hAnsi="Arial" w:cs="Arial"/>
          <w:bCs w:val="0"/>
          <w:sz w:val="22"/>
          <w:szCs w:val="22"/>
        </w:rPr>
        <w:t>DI</w:t>
      </w:r>
      <w:proofErr w:type="spellEnd"/>
      <w:r w:rsidRPr="007C54BD">
        <w:rPr>
          <w:rFonts w:ascii="Arial" w:hAnsi="Arial" w:cs="Arial"/>
          <w:bCs w:val="0"/>
          <w:sz w:val="22"/>
          <w:szCs w:val="22"/>
        </w:rPr>
        <w:t xml:space="preserve"> PONTENURE.</w:t>
      </w:r>
    </w:p>
    <w:p w:rsidR="00616C0F" w:rsidRPr="007C54BD" w:rsidRDefault="00616C0F" w:rsidP="00616C0F">
      <w:pPr>
        <w:pStyle w:val="Titolo7"/>
        <w:ind w:right="140"/>
        <w:rPr>
          <w:rFonts w:ascii="Arial" w:hAnsi="Arial" w:cs="Arial"/>
          <w:bCs/>
          <w:sz w:val="16"/>
          <w:szCs w:val="16"/>
        </w:rPr>
      </w:pPr>
    </w:p>
    <w:p w:rsidR="00616C0F" w:rsidRPr="007C54BD" w:rsidRDefault="00616C0F" w:rsidP="00616C0F">
      <w:pPr>
        <w:pStyle w:val="Titolo7"/>
        <w:ind w:right="140"/>
        <w:rPr>
          <w:rFonts w:ascii="Arial" w:hAnsi="Arial" w:cs="Arial"/>
          <w:bCs/>
          <w:sz w:val="22"/>
          <w:szCs w:val="22"/>
        </w:rPr>
      </w:pPr>
      <w:r w:rsidRPr="007C54BD">
        <w:rPr>
          <w:rFonts w:ascii="Arial" w:hAnsi="Arial" w:cs="Arial"/>
          <w:bCs/>
          <w:sz w:val="22"/>
          <w:szCs w:val="22"/>
        </w:rPr>
        <w:t xml:space="preserve">IL RESPONSABILE DEL </w:t>
      </w:r>
      <w:proofErr w:type="spellStart"/>
      <w:r w:rsidRPr="007C54BD">
        <w:rPr>
          <w:rFonts w:ascii="Arial" w:hAnsi="Arial" w:cs="Arial"/>
          <w:bCs/>
          <w:sz w:val="22"/>
          <w:szCs w:val="22"/>
        </w:rPr>
        <w:t>S.U.A.P.</w:t>
      </w:r>
      <w:proofErr w:type="spellEnd"/>
      <w:r w:rsidRPr="007C54BD">
        <w:rPr>
          <w:rFonts w:ascii="Arial" w:hAnsi="Arial" w:cs="Arial"/>
          <w:bCs/>
          <w:sz w:val="22"/>
          <w:szCs w:val="22"/>
        </w:rPr>
        <w:t xml:space="preserve"> </w:t>
      </w:r>
    </w:p>
    <w:p w:rsidR="00616C0F" w:rsidRPr="007C54BD" w:rsidRDefault="00616C0F" w:rsidP="00616C0F">
      <w:pPr>
        <w:ind w:firstLine="142"/>
        <w:jc w:val="both"/>
        <w:rPr>
          <w:rFonts w:ascii="Arial" w:hAnsi="Arial" w:cs="Arial"/>
          <w:sz w:val="22"/>
          <w:szCs w:val="22"/>
        </w:rPr>
      </w:pPr>
      <w:r w:rsidRPr="00303E30">
        <w:rPr>
          <w:rFonts w:ascii="Arial" w:hAnsi="Arial" w:cs="Arial"/>
          <w:b/>
          <w:sz w:val="22"/>
          <w:szCs w:val="22"/>
        </w:rPr>
        <w:t xml:space="preserve">VISTO </w:t>
      </w:r>
      <w:r w:rsidRPr="00303E30">
        <w:rPr>
          <w:rFonts w:ascii="Arial" w:hAnsi="Arial" w:cs="Arial"/>
          <w:sz w:val="22"/>
          <w:szCs w:val="22"/>
        </w:rPr>
        <w:t xml:space="preserve">il </w:t>
      </w:r>
      <w:proofErr w:type="spellStart"/>
      <w:r w:rsidRPr="00303E30">
        <w:rPr>
          <w:rFonts w:ascii="Arial" w:hAnsi="Arial" w:cs="Arial"/>
          <w:sz w:val="22"/>
          <w:szCs w:val="22"/>
        </w:rPr>
        <w:t>D.Lgs.</w:t>
      </w:r>
      <w:proofErr w:type="spellEnd"/>
      <w:r w:rsidRPr="00303E30">
        <w:rPr>
          <w:rFonts w:ascii="Arial" w:hAnsi="Arial" w:cs="Arial"/>
          <w:sz w:val="22"/>
          <w:szCs w:val="22"/>
        </w:rPr>
        <w:t xml:space="preserve"> 267 del 18.08.2000;</w:t>
      </w:r>
    </w:p>
    <w:p w:rsidR="00616C0F" w:rsidRPr="007C54BD" w:rsidRDefault="00616C0F" w:rsidP="00616C0F">
      <w:pPr>
        <w:ind w:firstLine="142"/>
        <w:jc w:val="both"/>
        <w:rPr>
          <w:rFonts w:ascii="Arial" w:hAnsi="Arial" w:cs="Arial"/>
          <w:sz w:val="22"/>
          <w:szCs w:val="22"/>
        </w:rPr>
      </w:pPr>
    </w:p>
    <w:p w:rsidR="00616C0F" w:rsidRPr="007C54BD" w:rsidRDefault="00616C0F" w:rsidP="00616C0F">
      <w:pPr>
        <w:pStyle w:val="Testodelblocco"/>
        <w:rPr>
          <w:rFonts w:ascii="Arial" w:hAnsi="Arial" w:cs="Arial"/>
          <w:b/>
          <w:bCs/>
          <w:sz w:val="22"/>
          <w:szCs w:val="22"/>
        </w:rPr>
      </w:pPr>
      <w:r w:rsidRPr="007C54BD">
        <w:rPr>
          <w:rFonts w:ascii="Arial" w:hAnsi="Arial" w:cs="Arial"/>
          <w:b/>
          <w:bCs/>
          <w:sz w:val="22"/>
          <w:szCs w:val="22"/>
        </w:rPr>
        <w:t>VISTI:</w:t>
      </w:r>
    </w:p>
    <w:p w:rsidR="00616C0F" w:rsidRPr="00303E30" w:rsidRDefault="00616C0F" w:rsidP="00616C0F">
      <w:pPr>
        <w:pStyle w:val="Testodelblocco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03E30">
        <w:rPr>
          <w:rFonts w:ascii="Arial" w:hAnsi="Arial" w:cs="Arial"/>
          <w:sz w:val="20"/>
          <w:szCs w:val="20"/>
        </w:rPr>
        <w:t>il decreto legislativo 31.03.1998 n. 114 “Riforma della disciplina relativa al settore del commercio”;</w:t>
      </w:r>
    </w:p>
    <w:p w:rsidR="00616C0F" w:rsidRPr="00303E30" w:rsidRDefault="00616C0F" w:rsidP="00616C0F">
      <w:pPr>
        <w:pStyle w:val="Rientrocorpodeltesto"/>
        <w:numPr>
          <w:ilvl w:val="0"/>
          <w:numId w:val="1"/>
        </w:numPr>
        <w:ind w:right="98"/>
        <w:rPr>
          <w:rFonts w:ascii="Arial" w:hAnsi="Arial" w:cs="Arial"/>
          <w:sz w:val="20"/>
          <w:szCs w:val="20"/>
        </w:rPr>
      </w:pPr>
      <w:r w:rsidRPr="00303E30">
        <w:rPr>
          <w:rFonts w:ascii="Arial" w:hAnsi="Arial" w:cs="Arial"/>
          <w:sz w:val="20"/>
          <w:szCs w:val="20"/>
        </w:rPr>
        <w:t>la legge regionale 25.05.1999, n. 12 “Norme per la disciplina del commercio su aree pubbliche in attuazione del decreto legislativo 114/98;</w:t>
      </w:r>
    </w:p>
    <w:p w:rsidR="00616C0F" w:rsidRPr="00303E30" w:rsidRDefault="00616C0F" w:rsidP="00616C0F">
      <w:pPr>
        <w:pStyle w:val="Rientrocorpodeltesto"/>
        <w:numPr>
          <w:ilvl w:val="0"/>
          <w:numId w:val="1"/>
        </w:numPr>
        <w:ind w:right="98"/>
        <w:rPr>
          <w:rFonts w:ascii="Arial" w:hAnsi="Arial" w:cs="Arial"/>
          <w:sz w:val="20"/>
          <w:szCs w:val="20"/>
        </w:rPr>
      </w:pPr>
      <w:r w:rsidRPr="00303E30">
        <w:rPr>
          <w:rFonts w:ascii="Arial" w:hAnsi="Arial" w:cs="Arial"/>
          <w:sz w:val="20"/>
          <w:szCs w:val="20"/>
        </w:rPr>
        <w:t xml:space="preserve">la deliberazione della Giunta Regionale n. 1368 del 26.07.1999, così come modificata dalla Deliberazione di </w:t>
      </w:r>
      <w:proofErr w:type="spellStart"/>
      <w:r w:rsidRPr="00303E30">
        <w:rPr>
          <w:rFonts w:ascii="Arial" w:hAnsi="Arial" w:cs="Arial"/>
          <w:sz w:val="20"/>
          <w:szCs w:val="20"/>
        </w:rPr>
        <w:t>G.R.</w:t>
      </w:r>
      <w:proofErr w:type="spellEnd"/>
      <w:r w:rsidRPr="00303E30">
        <w:rPr>
          <w:rFonts w:ascii="Arial" w:hAnsi="Arial" w:cs="Arial"/>
          <w:sz w:val="20"/>
          <w:szCs w:val="20"/>
        </w:rPr>
        <w:t xml:space="preserve"> n. 485 del 22.04.2013, recante “Disposizioni per l’esercizio del commercio su aree pubbliche in attuazione della </w:t>
      </w:r>
      <w:proofErr w:type="spellStart"/>
      <w:r w:rsidRPr="00303E30">
        <w:rPr>
          <w:rFonts w:ascii="Arial" w:hAnsi="Arial" w:cs="Arial"/>
          <w:sz w:val="20"/>
          <w:szCs w:val="20"/>
        </w:rPr>
        <w:t>L.R.</w:t>
      </w:r>
      <w:proofErr w:type="spellEnd"/>
      <w:r w:rsidRPr="00303E30">
        <w:rPr>
          <w:rFonts w:ascii="Arial" w:hAnsi="Arial" w:cs="Arial"/>
          <w:sz w:val="20"/>
          <w:szCs w:val="20"/>
        </w:rPr>
        <w:t xml:space="preserve"> 12/99;</w:t>
      </w:r>
    </w:p>
    <w:p w:rsidR="00616C0F" w:rsidRPr="00303E30" w:rsidRDefault="00616C0F" w:rsidP="00616C0F">
      <w:pPr>
        <w:numPr>
          <w:ilvl w:val="0"/>
          <w:numId w:val="1"/>
        </w:numPr>
        <w:ind w:right="98"/>
        <w:jc w:val="both"/>
        <w:rPr>
          <w:rFonts w:ascii="Arial" w:hAnsi="Arial" w:cs="Arial"/>
          <w:sz w:val="20"/>
          <w:szCs w:val="20"/>
        </w:rPr>
      </w:pPr>
      <w:r w:rsidRPr="00303E30">
        <w:rPr>
          <w:rFonts w:ascii="Arial" w:hAnsi="Arial" w:cs="Arial"/>
          <w:sz w:val="20"/>
          <w:szCs w:val="20"/>
        </w:rPr>
        <w:t>la delibera di Consiglio Comunale n. 27 del 27.04.2004 con la quale è stato adottato il “Regolamento per la disciplina del commercio su aree pubbliche” ed è stata individuata l’area pubblica per lo svolgimento del mercato, con indicazione dei relativi posteggi;</w:t>
      </w:r>
    </w:p>
    <w:p w:rsidR="00616C0F" w:rsidRPr="007C54BD" w:rsidRDefault="00616C0F" w:rsidP="00616C0F">
      <w:pPr>
        <w:ind w:right="98" w:firstLine="180"/>
        <w:jc w:val="both"/>
        <w:rPr>
          <w:rFonts w:ascii="Arial" w:hAnsi="Arial" w:cs="Arial"/>
          <w:sz w:val="22"/>
          <w:szCs w:val="22"/>
        </w:rPr>
      </w:pPr>
    </w:p>
    <w:p w:rsidR="00616C0F" w:rsidRPr="007C54BD" w:rsidRDefault="00616C0F" w:rsidP="00616C0F">
      <w:pPr>
        <w:ind w:right="98" w:firstLine="180"/>
        <w:jc w:val="both"/>
        <w:rPr>
          <w:rFonts w:ascii="Arial" w:hAnsi="Arial" w:cs="Arial"/>
          <w:sz w:val="22"/>
          <w:szCs w:val="22"/>
        </w:rPr>
      </w:pPr>
      <w:r w:rsidRPr="007C54BD">
        <w:rPr>
          <w:rFonts w:ascii="Arial" w:hAnsi="Arial" w:cs="Arial"/>
          <w:b/>
          <w:bCs/>
          <w:sz w:val="22"/>
          <w:szCs w:val="22"/>
        </w:rPr>
        <w:t>DATO ATTO</w:t>
      </w:r>
      <w:r w:rsidRPr="007C54BD">
        <w:rPr>
          <w:rFonts w:ascii="Arial" w:hAnsi="Arial" w:cs="Arial"/>
          <w:sz w:val="22"/>
          <w:szCs w:val="22"/>
        </w:rPr>
        <w:t xml:space="preserve"> che il Mercato di Pontenure si svolge nella giornata di Martedì;</w:t>
      </w:r>
    </w:p>
    <w:p w:rsidR="00616C0F" w:rsidRPr="007C54BD" w:rsidRDefault="00616C0F" w:rsidP="00616C0F">
      <w:pPr>
        <w:ind w:left="180" w:right="98"/>
        <w:jc w:val="both"/>
        <w:rPr>
          <w:rFonts w:ascii="Arial" w:hAnsi="Arial" w:cs="Arial"/>
          <w:sz w:val="22"/>
          <w:szCs w:val="22"/>
        </w:rPr>
      </w:pPr>
    </w:p>
    <w:p w:rsidR="00616C0F" w:rsidRPr="007C54BD" w:rsidRDefault="00616C0F" w:rsidP="00616C0F">
      <w:pPr>
        <w:ind w:left="180" w:right="98"/>
        <w:jc w:val="both"/>
        <w:rPr>
          <w:rFonts w:ascii="Arial" w:hAnsi="Arial" w:cs="Arial"/>
          <w:sz w:val="22"/>
          <w:szCs w:val="22"/>
        </w:rPr>
      </w:pPr>
      <w:r w:rsidRPr="007C54BD">
        <w:rPr>
          <w:rFonts w:ascii="Arial" w:hAnsi="Arial" w:cs="Arial"/>
          <w:b/>
          <w:bCs/>
          <w:sz w:val="22"/>
          <w:szCs w:val="22"/>
        </w:rPr>
        <w:t xml:space="preserve">CONSIDERATO </w:t>
      </w:r>
      <w:r w:rsidRPr="007C54BD">
        <w:rPr>
          <w:rFonts w:ascii="Arial" w:hAnsi="Arial" w:cs="Arial"/>
          <w:sz w:val="22"/>
          <w:szCs w:val="22"/>
        </w:rPr>
        <w:t xml:space="preserve">che nel mercato settimanale del martedì si sono resi vacanti </w:t>
      </w:r>
      <w:proofErr w:type="spellStart"/>
      <w:r w:rsidRPr="007C54BD">
        <w:rPr>
          <w:rFonts w:ascii="Arial" w:hAnsi="Arial" w:cs="Arial"/>
          <w:sz w:val="22"/>
          <w:szCs w:val="22"/>
        </w:rPr>
        <w:t>n°</w:t>
      </w:r>
      <w:proofErr w:type="spellEnd"/>
      <w:r w:rsidRPr="007C54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</w:t>
      </w:r>
      <w:r w:rsidRPr="007C54BD">
        <w:rPr>
          <w:rFonts w:ascii="Arial" w:hAnsi="Arial" w:cs="Arial"/>
          <w:sz w:val="22"/>
          <w:szCs w:val="22"/>
        </w:rPr>
        <w:t xml:space="preserve"> posteggi appartenenti al settore non alimentare (</w:t>
      </w:r>
      <w:proofErr w:type="spellStart"/>
      <w:r w:rsidRPr="007C54BD">
        <w:rPr>
          <w:rFonts w:ascii="Arial" w:hAnsi="Arial" w:cs="Arial"/>
          <w:sz w:val="22"/>
          <w:szCs w:val="22"/>
        </w:rPr>
        <w:t>n°</w:t>
      </w:r>
      <w:proofErr w:type="spellEnd"/>
      <w:r w:rsidRPr="007C54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3-5-13-24-25-26-27-28-29</w:t>
      </w:r>
      <w:r w:rsidRPr="007C54B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1 del settore alimentare (</w:t>
      </w:r>
      <w:proofErr w:type="spellStart"/>
      <w:r>
        <w:rPr>
          <w:rFonts w:ascii="Arial" w:hAnsi="Arial" w:cs="Arial"/>
          <w:sz w:val="22"/>
          <w:szCs w:val="22"/>
        </w:rPr>
        <w:t>n°</w:t>
      </w:r>
      <w:proofErr w:type="spellEnd"/>
      <w:r>
        <w:rPr>
          <w:rFonts w:ascii="Arial" w:hAnsi="Arial" w:cs="Arial"/>
          <w:sz w:val="22"/>
          <w:szCs w:val="22"/>
        </w:rPr>
        <w:t xml:space="preserve"> 20)</w:t>
      </w:r>
      <w:r w:rsidRPr="007C54BD">
        <w:rPr>
          <w:rFonts w:ascii="Arial" w:hAnsi="Arial" w:cs="Arial"/>
          <w:sz w:val="22"/>
          <w:szCs w:val="22"/>
        </w:rPr>
        <w:t>;</w:t>
      </w:r>
    </w:p>
    <w:p w:rsidR="00616C0F" w:rsidRPr="007C54BD" w:rsidRDefault="00616C0F" w:rsidP="00616C0F">
      <w:pPr>
        <w:pStyle w:val="Rientrocorpodeltesto3"/>
        <w:ind w:right="98"/>
        <w:rPr>
          <w:rFonts w:ascii="Arial" w:hAnsi="Arial" w:cs="Arial"/>
          <w:sz w:val="22"/>
          <w:szCs w:val="22"/>
        </w:rPr>
      </w:pPr>
    </w:p>
    <w:p w:rsidR="00616C0F" w:rsidRPr="007C54BD" w:rsidRDefault="00616C0F" w:rsidP="00616C0F">
      <w:pPr>
        <w:ind w:left="180" w:right="98"/>
        <w:jc w:val="both"/>
        <w:rPr>
          <w:rFonts w:ascii="Arial" w:hAnsi="Arial" w:cs="Arial"/>
          <w:sz w:val="22"/>
          <w:szCs w:val="22"/>
        </w:rPr>
      </w:pPr>
      <w:r w:rsidRPr="007C54BD">
        <w:rPr>
          <w:rFonts w:ascii="Arial" w:hAnsi="Arial" w:cs="Arial"/>
          <w:b/>
          <w:bCs/>
          <w:sz w:val="22"/>
          <w:szCs w:val="22"/>
        </w:rPr>
        <w:t xml:space="preserve">RITENUTO </w:t>
      </w:r>
      <w:r w:rsidRPr="007C54BD">
        <w:rPr>
          <w:rFonts w:ascii="Arial" w:hAnsi="Arial" w:cs="Arial"/>
          <w:sz w:val="22"/>
          <w:szCs w:val="22"/>
        </w:rPr>
        <w:t>di dover procedere all’assegnazione dei suddetti posteggi;</w:t>
      </w:r>
    </w:p>
    <w:p w:rsidR="00616C0F" w:rsidRPr="007C54BD" w:rsidRDefault="00616C0F" w:rsidP="00616C0F">
      <w:pPr>
        <w:ind w:left="180" w:right="98"/>
        <w:jc w:val="both"/>
        <w:rPr>
          <w:rFonts w:ascii="Arial" w:hAnsi="Arial" w:cs="Arial"/>
          <w:sz w:val="22"/>
          <w:szCs w:val="22"/>
        </w:rPr>
      </w:pPr>
    </w:p>
    <w:p w:rsidR="00616C0F" w:rsidRPr="007C54BD" w:rsidRDefault="00616C0F" w:rsidP="00616C0F">
      <w:pPr>
        <w:pStyle w:val="Rientrocorpodeltesto3"/>
        <w:ind w:right="98"/>
        <w:rPr>
          <w:rFonts w:ascii="Arial" w:hAnsi="Arial" w:cs="Arial"/>
          <w:sz w:val="22"/>
          <w:szCs w:val="22"/>
        </w:rPr>
      </w:pPr>
      <w:r w:rsidRPr="007C54BD">
        <w:rPr>
          <w:rFonts w:ascii="Arial" w:hAnsi="Arial" w:cs="Arial"/>
          <w:b/>
          <w:bCs/>
          <w:sz w:val="22"/>
          <w:szCs w:val="22"/>
        </w:rPr>
        <w:t xml:space="preserve">VISTO </w:t>
      </w:r>
      <w:r w:rsidRPr="007C54BD">
        <w:rPr>
          <w:rFonts w:ascii="Arial" w:hAnsi="Arial" w:cs="Arial"/>
          <w:sz w:val="22"/>
          <w:szCs w:val="22"/>
        </w:rPr>
        <w:t>che</w:t>
      </w:r>
      <w:r w:rsidRPr="007C54BD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C54BD">
        <w:rPr>
          <w:rFonts w:ascii="Arial" w:hAnsi="Arial" w:cs="Arial"/>
          <w:sz w:val="22"/>
          <w:szCs w:val="22"/>
        </w:rPr>
        <w:t xml:space="preserve">in relazione a quanto disposto al punto 1, lett. b, della delibera di Giunta Regionale n. 1368/99, sono stati comunicati alla Regione Emilia - Romagna i suddetti posteggi liberi da assegnare nel mercato di Pontenure; </w:t>
      </w:r>
    </w:p>
    <w:p w:rsidR="00616C0F" w:rsidRPr="007C54BD" w:rsidRDefault="00616C0F" w:rsidP="00616C0F">
      <w:pPr>
        <w:pStyle w:val="Rientrocorpodeltesto3"/>
        <w:ind w:right="98"/>
        <w:rPr>
          <w:rFonts w:ascii="Arial" w:hAnsi="Arial" w:cs="Arial"/>
          <w:b/>
          <w:bCs/>
          <w:sz w:val="22"/>
          <w:szCs w:val="22"/>
        </w:rPr>
      </w:pPr>
    </w:p>
    <w:p w:rsidR="00616C0F" w:rsidRPr="007C54BD" w:rsidRDefault="00616C0F" w:rsidP="00616C0F">
      <w:pPr>
        <w:pStyle w:val="Rientrocorpodeltesto3"/>
        <w:ind w:right="98"/>
        <w:jc w:val="center"/>
        <w:rPr>
          <w:rFonts w:ascii="Arial" w:hAnsi="Arial" w:cs="Arial"/>
          <w:b/>
          <w:bCs/>
          <w:sz w:val="22"/>
          <w:szCs w:val="22"/>
        </w:rPr>
      </w:pPr>
      <w:r w:rsidRPr="007C54BD">
        <w:rPr>
          <w:rFonts w:ascii="Arial" w:hAnsi="Arial" w:cs="Arial"/>
          <w:b/>
          <w:bCs/>
          <w:sz w:val="22"/>
          <w:szCs w:val="22"/>
        </w:rPr>
        <w:t>DETERMINA</w:t>
      </w:r>
    </w:p>
    <w:p w:rsidR="00616C0F" w:rsidRPr="007C54BD" w:rsidRDefault="00616C0F" w:rsidP="00616C0F">
      <w:pPr>
        <w:pStyle w:val="Rientrocorpodeltesto3"/>
        <w:ind w:right="98"/>
        <w:rPr>
          <w:rFonts w:ascii="Arial" w:hAnsi="Arial" w:cs="Arial"/>
          <w:b/>
          <w:bCs/>
          <w:sz w:val="22"/>
          <w:szCs w:val="22"/>
        </w:rPr>
      </w:pPr>
    </w:p>
    <w:p w:rsidR="00616C0F" w:rsidRPr="00303E30" w:rsidRDefault="00616C0F" w:rsidP="00616C0F">
      <w:pPr>
        <w:numPr>
          <w:ilvl w:val="0"/>
          <w:numId w:val="2"/>
        </w:numPr>
        <w:tabs>
          <w:tab w:val="left" w:pos="9214"/>
        </w:tabs>
        <w:ind w:right="98"/>
        <w:jc w:val="both"/>
        <w:rPr>
          <w:rFonts w:ascii="Arial" w:hAnsi="Arial" w:cs="Arial"/>
          <w:bCs/>
          <w:iCs/>
          <w:sz w:val="22"/>
          <w:szCs w:val="22"/>
        </w:rPr>
      </w:pPr>
      <w:r w:rsidRPr="007C54BD">
        <w:rPr>
          <w:rFonts w:ascii="Arial" w:hAnsi="Arial" w:cs="Arial"/>
          <w:sz w:val="22"/>
          <w:szCs w:val="22"/>
        </w:rPr>
        <w:t xml:space="preserve">Di approvare il </w:t>
      </w:r>
      <w:r w:rsidRPr="007C54BD">
        <w:rPr>
          <w:rFonts w:ascii="Arial" w:hAnsi="Arial" w:cs="Arial"/>
          <w:bCs/>
          <w:sz w:val="22"/>
          <w:szCs w:val="22"/>
        </w:rPr>
        <w:t xml:space="preserve">bando per l’assegnazione dei posteggi liberi nel mercato </w:t>
      </w:r>
      <w:r w:rsidRPr="007C54BD">
        <w:rPr>
          <w:rFonts w:ascii="Arial" w:hAnsi="Arial" w:cs="Arial"/>
          <w:bCs/>
          <w:iCs/>
          <w:sz w:val="22"/>
          <w:szCs w:val="22"/>
        </w:rPr>
        <w:t xml:space="preserve">ordinario di </w:t>
      </w:r>
      <w:r w:rsidRPr="00303E30">
        <w:rPr>
          <w:rFonts w:ascii="Arial" w:hAnsi="Arial" w:cs="Arial"/>
          <w:bCs/>
          <w:iCs/>
          <w:sz w:val="22"/>
          <w:szCs w:val="22"/>
        </w:rPr>
        <w:t>Pontenure (allegato 1) e il modulo tipo di domanda (allegato 2);</w:t>
      </w:r>
    </w:p>
    <w:p w:rsidR="00616C0F" w:rsidRPr="00303E30" w:rsidRDefault="00616C0F" w:rsidP="00616C0F">
      <w:pPr>
        <w:numPr>
          <w:ilvl w:val="0"/>
          <w:numId w:val="2"/>
        </w:numPr>
        <w:tabs>
          <w:tab w:val="left" w:pos="9214"/>
        </w:tabs>
        <w:ind w:right="98"/>
        <w:jc w:val="both"/>
        <w:rPr>
          <w:rFonts w:ascii="Arial" w:hAnsi="Arial" w:cs="Arial"/>
          <w:bCs/>
          <w:iCs/>
          <w:sz w:val="22"/>
          <w:szCs w:val="22"/>
        </w:rPr>
      </w:pPr>
      <w:r w:rsidRPr="00303E30">
        <w:rPr>
          <w:rFonts w:ascii="Arial" w:hAnsi="Arial" w:cs="Arial"/>
          <w:bCs/>
          <w:iCs/>
          <w:sz w:val="22"/>
          <w:szCs w:val="22"/>
        </w:rPr>
        <w:t xml:space="preserve">di garantire il diritto all’informazione degli interessati in merito alle modalità di assegnazione e presentazione delle relative domande mediante affissione dell’allegato bando </w:t>
      </w:r>
      <w:r w:rsidRPr="00303E30">
        <w:rPr>
          <w:rFonts w:ascii="Arial" w:hAnsi="Arial" w:cs="Arial"/>
          <w:sz w:val="22"/>
          <w:szCs w:val="22"/>
        </w:rPr>
        <w:t>l’albo pretorio dell’Unione dei Comuni della Via Emilia Piacentina e sul sito internet del Comune di Pontenure.</w:t>
      </w:r>
    </w:p>
    <w:p w:rsidR="00616C0F" w:rsidRPr="00506DAB" w:rsidRDefault="00616C0F" w:rsidP="00616C0F">
      <w:pPr>
        <w:pStyle w:val="Titolo7"/>
        <w:spacing w:line="240" w:lineRule="auto"/>
        <w:ind w:right="142"/>
        <w:rPr>
          <w:rFonts w:ascii="Arial" w:hAnsi="Arial" w:cs="Arial"/>
          <w:b w:val="0"/>
          <w:bCs/>
          <w:sz w:val="22"/>
          <w:szCs w:val="22"/>
        </w:rPr>
      </w:pPr>
      <w:r w:rsidRPr="00303E30">
        <w:rPr>
          <w:rFonts w:ascii="Arial" w:hAnsi="Arial" w:cs="Arial"/>
          <w:b w:val="0"/>
          <w:bCs/>
          <w:sz w:val="22"/>
          <w:szCs w:val="22"/>
        </w:rPr>
        <w:t xml:space="preserve">                                            IL RESPONSABILE DEL </w:t>
      </w:r>
      <w:proofErr w:type="spellStart"/>
      <w:r w:rsidRPr="00303E30">
        <w:rPr>
          <w:rFonts w:ascii="Arial" w:hAnsi="Arial" w:cs="Arial"/>
          <w:b w:val="0"/>
          <w:bCs/>
          <w:sz w:val="22"/>
          <w:szCs w:val="22"/>
        </w:rPr>
        <w:t>S.U.A.P.</w:t>
      </w:r>
      <w:proofErr w:type="spellEnd"/>
      <w:r w:rsidRPr="00506DAB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:rsidR="00616C0F" w:rsidRPr="00506DAB" w:rsidRDefault="00616C0F" w:rsidP="00616C0F">
      <w:pPr>
        <w:ind w:right="142"/>
        <w:rPr>
          <w:rFonts w:ascii="Arial" w:hAnsi="Arial" w:cs="Arial"/>
          <w:sz w:val="22"/>
          <w:szCs w:val="22"/>
        </w:rPr>
      </w:pPr>
      <w:r w:rsidRPr="00506DAB">
        <w:rPr>
          <w:sz w:val="22"/>
          <w:szCs w:val="22"/>
        </w:rPr>
        <w:tab/>
      </w:r>
      <w:r w:rsidRPr="00506DAB">
        <w:rPr>
          <w:sz w:val="22"/>
          <w:szCs w:val="22"/>
        </w:rPr>
        <w:tab/>
      </w:r>
      <w:r w:rsidRPr="00506DAB">
        <w:rPr>
          <w:sz w:val="22"/>
          <w:szCs w:val="22"/>
        </w:rPr>
        <w:tab/>
      </w:r>
      <w:r w:rsidRPr="00506DAB">
        <w:rPr>
          <w:sz w:val="22"/>
          <w:szCs w:val="22"/>
        </w:rPr>
        <w:tab/>
      </w:r>
      <w:r w:rsidRPr="00506DAB">
        <w:rPr>
          <w:sz w:val="22"/>
          <w:szCs w:val="22"/>
        </w:rPr>
        <w:tab/>
      </w:r>
      <w:r w:rsidRPr="00506DAB">
        <w:rPr>
          <w:sz w:val="22"/>
          <w:szCs w:val="22"/>
        </w:rPr>
        <w:tab/>
      </w:r>
      <w:r w:rsidRPr="00506D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506DAB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 </w:t>
      </w:r>
      <w:r w:rsidRPr="00506DAB">
        <w:rPr>
          <w:rFonts w:ascii="Arial" w:hAnsi="Arial" w:cs="Arial"/>
          <w:sz w:val="22"/>
          <w:szCs w:val="22"/>
        </w:rPr>
        <w:t xml:space="preserve">  (Dott. Franco </w:t>
      </w:r>
      <w:proofErr w:type="spellStart"/>
      <w:r w:rsidRPr="00506DAB">
        <w:rPr>
          <w:rFonts w:ascii="Arial" w:hAnsi="Arial" w:cs="Arial"/>
          <w:sz w:val="22"/>
          <w:szCs w:val="22"/>
        </w:rPr>
        <w:t>Sprega</w:t>
      </w:r>
      <w:proofErr w:type="spellEnd"/>
      <w:r w:rsidRPr="00506DAB">
        <w:rPr>
          <w:rFonts w:ascii="Arial" w:hAnsi="Arial" w:cs="Arial"/>
          <w:sz w:val="22"/>
          <w:szCs w:val="22"/>
        </w:rPr>
        <w:t>)</w:t>
      </w:r>
    </w:p>
    <w:p w:rsidR="004E4325" w:rsidRDefault="004E4325"/>
    <w:sectPr w:rsidR="004E4325" w:rsidSect="004E4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33800"/>
    <w:multiLevelType w:val="hybridMultilevel"/>
    <w:tmpl w:val="76423C4A"/>
    <w:lvl w:ilvl="0" w:tplc="BB4C0AA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>
    <w:nsid w:val="5A792F19"/>
    <w:multiLevelType w:val="hybridMultilevel"/>
    <w:tmpl w:val="3D44DB06"/>
    <w:lvl w:ilvl="0" w:tplc="BB4C0AA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6C0F"/>
    <w:rsid w:val="00475718"/>
    <w:rsid w:val="004E4325"/>
    <w:rsid w:val="00616C0F"/>
    <w:rsid w:val="009A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16C0F"/>
    <w:pPr>
      <w:keepNext/>
      <w:outlineLvl w:val="0"/>
    </w:pPr>
    <w:rPr>
      <w:rFonts w:ascii="Arial Black" w:hAnsi="Arial Black"/>
      <w:b/>
      <w:bCs/>
    </w:rPr>
  </w:style>
  <w:style w:type="paragraph" w:styleId="Titolo7">
    <w:name w:val="heading 7"/>
    <w:basedOn w:val="Normale"/>
    <w:next w:val="Normale"/>
    <w:link w:val="Titolo7Carattere"/>
    <w:qFormat/>
    <w:rsid w:val="00616C0F"/>
    <w:pPr>
      <w:keepNext/>
      <w:spacing w:line="360" w:lineRule="auto"/>
      <w:jc w:val="center"/>
      <w:outlineLvl w:val="6"/>
    </w:pPr>
    <w:rPr>
      <w:b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16C0F"/>
    <w:rPr>
      <w:rFonts w:ascii="Arial Black" w:eastAsia="Times New Roman" w:hAnsi="Arial Black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16C0F"/>
    <w:rPr>
      <w:rFonts w:ascii="Times New Roman" w:eastAsia="Times New Roman" w:hAnsi="Times New Roman" w:cs="Times New Roman"/>
      <w:b/>
      <w:sz w:val="26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616C0F"/>
    <w:pPr>
      <w:ind w:firstLine="1134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16C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semiHidden/>
    <w:rsid w:val="00616C0F"/>
    <w:pPr>
      <w:ind w:left="180" w:right="98"/>
      <w:jc w:val="both"/>
    </w:pPr>
  </w:style>
  <w:style w:type="paragraph" w:styleId="Rientrocorpodeltesto3">
    <w:name w:val="Body Text Indent 3"/>
    <w:basedOn w:val="Normale"/>
    <w:link w:val="Rientrocorpodeltesto3Carattere"/>
    <w:semiHidden/>
    <w:rsid w:val="00616C0F"/>
    <w:pPr>
      <w:ind w:left="1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16C0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C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C0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2017-03-10T08:43:00Z</dcterms:created>
  <dcterms:modified xsi:type="dcterms:W3CDTF">2017-03-10T08:43:00Z</dcterms:modified>
</cp:coreProperties>
</file>