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EA" w:rsidRPr="00D703EA" w:rsidRDefault="00D703EA" w:rsidP="00D703EA">
      <w:pPr>
        <w:spacing w:before="405" w:after="203" w:line="240" w:lineRule="auto"/>
        <w:outlineLvl w:val="0"/>
        <w:rPr>
          <w:rFonts w:ascii="Titillium Web" w:eastAsia="Times New Roman" w:hAnsi="Titillium Web" w:cs="Times New Roman"/>
          <w:color w:val="1C2024"/>
          <w:sz w:val="52"/>
          <w:szCs w:val="52"/>
          <w:lang w:eastAsia="it-IT"/>
        </w:rPr>
      </w:pPr>
      <w:r w:rsidRPr="00D703EA">
        <w:rPr>
          <w:rFonts w:ascii="inherit" w:eastAsia="Times New Roman" w:hAnsi="inherit" w:cs="Times New Roman"/>
          <w:b/>
          <w:bCs/>
          <w:color w:val="00B0F0"/>
          <w:kern w:val="36"/>
          <w:sz w:val="52"/>
          <w:szCs w:val="52"/>
          <w:lang w:eastAsia="it-IT"/>
        </w:rPr>
        <w:t>Testamento biologico</w:t>
      </w:r>
      <w:r w:rsidRPr="00D703EA">
        <w:rPr>
          <w:rFonts w:ascii="Titillium Web" w:eastAsia="Times New Roman" w:hAnsi="Titillium Web" w:cs="Times New Roman"/>
          <w:color w:val="1C2024"/>
          <w:sz w:val="52"/>
          <w:szCs w:val="52"/>
          <w:lang w:eastAsia="it-IT"/>
        </w:rPr>
        <w:t xml:space="preserve"> </w:t>
      </w:r>
    </w:p>
    <w:p w:rsidR="00D703EA" w:rsidRPr="00685A87" w:rsidRDefault="00D703EA" w:rsidP="00C57DF1">
      <w:pPr>
        <w:spacing w:after="0" w:line="240" w:lineRule="auto"/>
        <w:jc w:val="both"/>
        <w:rPr>
          <w:rFonts w:eastAsia="Times New Roman" w:cs="Times New Roman"/>
          <w:color w:val="1C2024"/>
          <w:sz w:val="27"/>
          <w:szCs w:val="27"/>
          <w:lang w:eastAsia="it-IT"/>
        </w:rPr>
      </w:pP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>I cittadini che desiderano depositare le proprie disposizioni anticipate di trattamento</w:t>
      </w:r>
      <w:r w:rsidRPr="00685A87">
        <w:rPr>
          <w:rFonts w:eastAsia="Times New Roman" w:cs="Times New Roman"/>
          <w:color w:val="1C2024"/>
          <w:sz w:val="27"/>
          <w:szCs w:val="27"/>
          <w:lang w:eastAsia="it-IT"/>
        </w:rPr>
        <w:t xml:space="preserve"> (</w:t>
      </w: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 xml:space="preserve">DAT) sanitario in previsione di un'eventuale futura incapacità di autodeterminarsi possono farlo fissando un appuntamento con l'Ufficio di Stato civile comunale. </w:t>
      </w:r>
    </w:p>
    <w:p w:rsidR="00D703EA" w:rsidRPr="00D703EA" w:rsidRDefault="00D703EA" w:rsidP="00D703EA">
      <w:pPr>
        <w:spacing w:after="0" w:line="240" w:lineRule="auto"/>
        <w:jc w:val="both"/>
        <w:rPr>
          <w:rFonts w:eastAsia="Times New Roman" w:cs="Times New Roman"/>
          <w:color w:val="1C2024"/>
          <w:sz w:val="27"/>
          <w:szCs w:val="27"/>
          <w:lang w:eastAsia="it-IT"/>
        </w:rPr>
      </w:pPr>
    </w:p>
    <w:p w:rsidR="00D703EA" w:rsidRPr="00D703EA" w:rsidRDefault="00D703EA" w:rsidP="00D703EA">
      <w:pPr>
        <w:spacing w:after="0" w:line="240" w:lineRule="auto"/>
        <w:rPr>
          <w:rFonts w:eastAsia="Times New Roman" w:cs="Times New Roman"/>
          <w:color w:val="1C2024"/>
          <w:sz w:val="27"/>
          <w:szCs w:val="27"/>
          <w:lang w:eastAsia="it-IT"/>
        </w:rPr>
      </w:pPr>
      <w:r w:rsidRPr="00D703EA">
        <w:rPr>
          <w:rFonts w:eastAsia="Times New Roman" w:cs="Times New Roman"/>
          <w:noProof/>
          <w:color w:val="0066CC"/>
          <w:sz w:val="27"/>
          <w:szCs w:val="27"/>
          <w:lang w:eastAsia="it-IT"/>
        </w:rPr>
        <w:drawing>
          <wp:inline distT="0" distB="0" distL="0" distR="0" wp14:anchorId="668A183D" wp14:editId="5AD0BE2A">
            <wp:extent cx="6146601" cy="2809875"/>
            <wp:effectExtent l="0" t="0" r="6985" b="0"/>
            <wp:docPr id="1" name="Immagine 1" descr="Testamento biologic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amento biologic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158" cy="28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EA" w:rsidRPr="00685A87" w:rsidRDefault="00D703EA" w:rsidP="00D703EA">
      <w:pPr>
        <w:spacing w:after="203" w:line="240" w:lineRule="auto"/>
        <w:rPr>
          <w:rFonts w:eastAsia="Times New Roman" w:cs="Times New Roman"/>
          <w:color w:val="1C2024"/>
          <w:sz w:val="27"/>
          <w:szCs w:val="27"/>
          <w:lang w:eastAsia="it-IT"/>
        </w:rPr>
      </w:pPr>
    </w:p>
    <w:p w:rsidR="00D703EA" w:rsidRPr="00685A87" w:rsidRDefault="00D703EA" w:rsidP="00C57DF1">
      <w:pPr>
        <w:spacing w:after="203" w:line="240" w:lineRule="auto"/>
        <w:ind w:right="-1"/>
        <w:jc w:val="both"/>
        <w:rPr>
          <w:rFonts w:eastAsia="Times New Roman" w:cs="Times New Roman"/>
          <w:color w:val="1C2024"/>
          <w:sz w:val="27"/>
          <w:szCs w:val="27"/>
          <w:lang w:eastAsia="it-IT"/>
        </w:rPr>
      </w:pP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>La legge 22.12.2017 n. 219 “Norme in materia di consenso informato e di disposizioni anticipate di trattamento”, associata, nella comune percezione, all'introduzione del cosiddetto “</w:t>
      </w:r>
      <w:r w:rsidRPr="00D703EA">
        <w:rPr>
          <w:rFonts w:eastAsia="Times New Roman" w:cs="Times New Roman"/>
          <w:b/>
          <w:bCs/>
          <w:i/>
          <w:iCs/>
          <w:color w:val="1C2024"/>
          <w:sz w:val="27"/>
          <w:szCs w:val="27"/>
          <w:lang w:eastAsia="it-IT"/>
        </w:rPr>
        <w:t>testamento biologico</w:t>
      </w: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 xml:space="preserve">”, all'art. 4 prevede quanto segue: </w:t>
      </w:r>
    </w:p>
    <w:p w:rsidR="0031218B" w:rsidRPr="00685A87" w:rsidRDefault="00D703EA" w:rsidP="004129A4">
      <w:pPr>
        <w:spacing w:after="203" w:line="240" w:lineRule="auto"/>
        <w:ind w:right="-1"/>
        <w:rPr>
          <w:rFonts w:eastAsia="Times New Roman" w:cs="Times New Roman"/>
          <w:color w:val="1C2024"/>
          <w:sz w:val="27"/>
          <w:szCs w:val="27"/>
          <w:lang w:eastAsia="it-IT"/>
        </w:rPr>
      </w:pP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>“</w:t>
      </w:r>
      <w:r w:rsidRPr="00D703EA">
        <w:rPr>
          <w:rFonts w:eastAsia="Times New Roman" w:cs="Times New Roman"/>
          <w:i/>
          <w:color w:val="1C2024"/>
          <w:lang w:eastAsia="it-IT"/>
        </w:rPr>
        <w:t xml:space="preserve">Ogni persona maggiorenne e capace di intendere e di volere, </w:t>
      </w:r>
      <w:r w:rsidRPr="00D703EA">
        <w:rPr>
          <w:rFonts w:eastAsia="Times New Roman" w:cs="Times New Roman"/>
          <w:b/>
          <w:bCs/>
          <w:i/>
          <w:color w:val="1C2024"/>
          <w:lang w:eastAsia="it-IT"/>
        </w:rPr>
        <w:t>in previsione di un'eventuale futura incapacità di autodeterminarsi e dopo avere acquisito adeguate informazioni mediche sulle conseguenze delle sue scelte</w:t>
      </w:r>
      <w:r w:rsidRPr="00D703EA">
        <w:rPr>
          <w:rFonts w:eastAsia="Times New Roman" w:cs="Times New Roman"/>
          <w:i/>
          <w:color w:val="1C2024"/>
          <w:lang w:eastAsia="it-IT"/>
        </w:rPr>
        <w:t>, può, attraverso le DAT (disposizioni anticipate di trattamento), esprimere le proprie volontà in materia di trattamenti sanitari, nonché il consenso o il rifiuto rispetto ad accertamenti diagnostici o scelte terapeutiche e a singoli trattamenti sanitari.</w:t>
      </w:r>
      <w:r w:rsidR="0031218B" w:rsidRPr="00685A87">
        <w:rPr>
          <w:rFonts w:eastAsia="Times New Roman" w:cs="Times New Roman"/>
          <w:i/>
          <w:color w:val="1C2024"/>
          <w:lang w:eastAsia="it-IT"/>
        </w:rPr>
        <w:t>”</w:t>
      </w:r>
    </w:p>
    <w:p w:rsidR="00D703EA" w:rsidRPr="00D703EA" w:rsidRDefault="00D703EA" w:rsidP="00D703EA">
      <w:pPr>
        <w:spacing w:after="203" w:line="240" w:lineRule="auto"/>
        <w:rPr>
          <w:rFonts w:eastAsia="Times New Roman" w:cs="Times New Roman"/>
          <w:color w:val="1C2024"/>
          <w:sz w:val="27"/>
          <w:szCs w:val="27"/>
          <w:lang w:eastAsia="it-IT"/>
        </w:rPr>
      </w:pP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 xml:space="preserve">Indica altresì </w:t>
      </w:r>
      <w:r w:rsidRPr="00D703EA">
        <w:rPr>
          <w:rFonts w:eastAsia="Times New Roman" w:cs="Times New Roman"/>
          <w:b/>
          <w:bCs/>
          <w:color w:val="1C2024"/>
          <w:sz w:val="27"/>
          <w:szCs w:val="27"/>
          <w:lang w:eastAsia="it-IT"/>
        </w:rPr>
        <w:t>una persona di sua fiducia</w:t>
      </w: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>, di seguito denominata «</w:t>
      </w:r>
      <w:r w:rsidRPr="00D703EA">
        <w:rPr>
          <w:rFonts w:eastAsia="Times New Roman" w:cs="Times New Roman"/>
          <w:b/>
          <w:bCs/>
          <w:color w:val="1C2024"/>
          <w:sz w:val="27"/>
          <w:szCs w:val="27"/>
          <w:lang w:eastAsia="it-IT"/>
        </w:rPr>
        <w:t>fiduciario</w:t>
      </w: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>», che ne faccia le veci e la rappresenti nelle relazioni con il medico e con le strutture sanitarie”.</w:t>
      </w:r>
    </w:p>
    <w:p w:rsidR="008A3534" w:rsidRPr="00953E35" w:rsidRDefault="00D703EA" w:rsidP="00D703EA">
      <w:pPr>
        <w:spacing w:after="203" w:line="240" w:lineRule="auto"/>
        <w:rPr>
          <w:rFonts w:eastAsia="Times New Roman" w:cs="Times New Roman"/>
          <w:b/>
          <w:bCs/>
          <w:color w:val="00B0F0"/>
          <w:sz w:val="32"/>
          <w:szCs w:val="32"/>
          <w:lang w:eastAsia="it-IT"/>
        </w:rPr>
      </w:pPr>
      <w:r w:rsidRPr="00D703EA">
        <w:rPr>
          <w:rFonts w:eastAsia="Times New Roman" w:cs="Times New Roman"/>
          <w:b/>
          <w:bCs/>
          <w:color w:val="00B0F0"/>
          <w:sz w:val="32"/>
          <w:szCs w:val="32"/>
          <w:lang w:eastAsia="it-IT"/>
        </w:rPr>
        <w:t>Chi può farlo</w:t>
      </w:r>
    </w:p>
    <w:p w:rsidR="00D703EA" w:rsidRPr="00685A87" w:rsidRDefault="00D703EA" w:rsidP="00D703EA">
      <w:pPr>
        <w:spacing w:after="203" w:line="240" w:lineRule="auto"/>
        <w:rPr>
          <w:rFonts w:eastAsia="Times New Roman" w:cs="Times New Roman"/>
          <w:color w:val="1C2024"/>
          <w:sz w:val="27"/>
          <w:szCs w:val="27"/>
          <w:lang w:eastAsia="it-IT"/>
        </w:rPr>
      </w:pP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>Possono rivolgersi tutti i residenti nel Comune di P</w:t>
      </w:r>
      <w:r w:rsidR="008A3534" w:rsidRPr="00685A87">
        <w:rPr>
          <w:rFonts w:eastAsia="Times New Roman" w:cs="Times New Roman"/>
          <w:color w:val="1C2024"/>
          <w:sz w:val="27"/>
          <w:szCs w:val="27"/>
          <w:lang w:eastAsia="it-IT"/>
        </w:rPr>
        <w:t>ontenure</w:t>
      </w: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 xml:space="preserve"> maggiorenni in possesso della capacità di intendere e di volere.</w:t>
      </w:r>
    </w:p>
    <w:p w:rsidR="008A3534" w:rsidRPr="00953E35" w:rsidRDefault="00D703EA" w:rsidP="00D703EA">
      <w:pPr>
        <w:spacing w:after="203" w:line="240" w:lineRule="auto"/>
        <w:rPr>
          <w:rFonts w:eastAsia="Times New Roman" w:cs="Times New Roman"/>
          <w:b/>
          <w:bCs/>
          <w:color w:val="00B0F0"/>
          <w:sz w:val="32"/>
          <w:szCs w:val="32"/>
          <w:lang w:eastAsia="it-IT"/>
        </w:rPr>
      </w:pPr>
      <w:r w:rsidRPr="00D703EA">
        <w:rPr>
          <w:rFonts w:eastAsia="Times New Roman" w:cs="Times New Roman"/>
          <w:b/>
          <w:bCs/>
          <w:color w:val="00B0F0"/>
          <w:sz w:val="32"/>
          <w:szCs w:val="32"/>
          <w:lang w:eastAsia="it-IT"/>
        </w:rPr>
        <w:t>Dove</w:t>
      </w:r>
    </w:p>
    <w:p w:rsidR="00D703EA" w:rsidRPr="00D703EA" w:rsidRDefault="00D703EA" w:rsidP="00D703EA">
      <w:pPr>
        <w:spacing w:after="203" w:line="240" w:lineRule="auto"/>
        <w:rPr>
          <w:rFonts w:eastAsia="Times New Roman" w:cs="Times New Roman"/>
          <w:color w:val="1C2024"/>
          <w:sz w:val="27"/>
          <w:szCs w:val="27"/>
          <w:lang w:eastAsia="it-IT"/>
        </w:rPr>
      </w:pP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 xml:space="preserve">Il servizio viene svolto presso </w:t>
      </w:r>
      <w:hyperlink r:id="rId7" w:history="1">
        <w:r w:rsidR="003D4563">
          <w:rPr>
            <w:rFonts w:eastAsia="Times New Roman" w:cs="Times New Roman"/>
            <w:color w:val="0066CC"/>
            <w:sz w:val="27"/>
            <w:szCs w:val="27"/>
            <w:lang w:eastAsia="it-IT"/>
          </w:rPr>
          <w:t>gli Uffici Demografici-Ufficiale di Stato Civile</w:t>
        </w:r>
      </w:hyperlink>
      <w:r w:rsidR="003D4563">
        <w:rPr>
          <w:rFonts w:eastAsia="Times New Roman" w:cs="Times New Roman"/>
          <w:color w:val="1C2024"/>
          <w:sz w:val="27"/>
          <w:szCs w:val="27"/>
          <w:lang w:eastAsia="it-IT"/>
        </w:rPr>
        <w:t xml:space="preserve"> </w:t>
      </w: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>- previa prenotazione dell'appuntamento</w:t>
      </w:r>
      <w:r w:rsidRPr="00D703EA">
        <w:rPr>
          <w:rFonts w:eastAsia="Times New Roman" w:cs="Times New Roman"/>
          <w:b/>
          <w:bCs/>
          <w:color w:val="1C2024"/>
          <w:sz w:val="27"/>
          <w:szCs w:val="27"/>
          <w:lang w:eastAsia="it-IT"/>
        </w:rPr>
        <w:t xml:space="preserve"> </w:t>
      </w: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>ai seguenti recapiti telefonici:</w:t>
      </w:r>
      <w:r w:rsidR="008A3534" w:rsidRPr="00685A87">
        <w:rPr>
          <w:rFonts w:eastAsia="Times New Roman" w:cs="Times New Roman"/>
          <w:color w:val="1C2024"/>
          <w:sz w:val="27"/>
          <w:szCs w:val="27"/>
          <w:lang w:eastAsia="it-IT"/>
        </w:rPr>
        <w:t xml:space="preserve"> </w:t>
      </w: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 xml:space="preserve">0523 </w:t>
      </w:r>
      <w:r w:rsidR="008A3534" w:rsidRPr="00685A87">
        <w:rPr>
          <w:rFonts w:eastAsia="Times New Roman" w:cs="Times New Roman"/>
          <w:color w:val="1C2024"/>
          <w:sz w:val="27"/>
          <w:szCs w:val="27"/>
          <w:lang w:eastAsia="it-IT"/>
        </w:rPr>
        <w:t>692028</w:t>
      </w:r>
    </w:p>
    <w:p w:rsidR="00D703EA" w:rsidRPr="00D703EA" w:rsidRDefault="00D703EA" w:rsidP="00D703EA">
      <w:pPr>
        <w:spacing w:after="203" w:line="240" w:lineRule="auto"/>
        <w:rPr>
          <w:rFonts w:eastAsia="Times New Roman" w:cs="Times New Roman"/>
          <w:color w:val="00B0F0"/>
          <w:sz w:val="32"/>
          <w:szCs w:val="32"/>
          <w:lang w:eastAsia="it-IT"/>
        </w:rPr>
      </w:pPr>
      <w:r w:rsidRPr="00D703EA">
        <w:rPr>
          <w:rFonts w:eastAsia="Times New Roman" w:cs="Times New Roman"/>
          <w:b/>
          <w:bCs/>
          <w:color w:val="00B0F0"/>
          <w:sz w:val="32"/>
          <w:szCs w:val="32"/>
          <w:lang w:eastAsia="it-IT"/>
        </w:rPr>
        <w:lastRenderedPageBreak/>
        <w:t>Modalità</w:t>
      </w:r>
    </w:p>
    <w:p w:rsidR="00D703EA" w:rsidRPr="00D703EA" w:rsidRDefault="00D703EA" w:rsidP="005A3D35">
      <w:pPr>
        <w:spacing w:after="203" w:line="240" w:lineRule="auto"/>
        <w:jc w:val="both"/>
        <w:rPr>
          <w:rFonts w:eastAsia="Times New Roman" w:cs="Times New Roman"/>
          <w:color w:val="1C2024"/>
          <w:sz w:val="27"/>
          <w:szCs w:val="27"/>
          <w:lang w:eastAsia="it-IT"/>
        </w:rPr>
      </w:pP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>Il cittadino che desidera depositare presso il Comune le proprie disposizioni anticipate di trattamento, si presenta di pers</w:t>
      </w:r>
      <w:r w:rsidR="00685A87">
        <w:rPr>
          <w:rFonts w:eastAsia="Times New Roman" w:cs="Times New Roman"/>
          <w:color w:val="1C2024"/>
          <w:sz w:val="27"/>
          <w:szCs w:val="27"/>
          <w:lang w:eastAsia="it-IT"/>
        </w:rPr>
        <w:t>ona all'Ufficio di Stato Civile</w:t>
      </w: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 xml:space="preserve">, </w:t>
      </w:r>
      <w:r w:rsidR="00685A87">
        <w:rPr>
          <w:rFonts w:eastAsia="Times New Roman" w:cs="Times New Roman"/>
          <w:b/>
          <w:bCs/>
          <w:color w:val="1C2024"/>
          <w:sz w:val="27"/>
          <w:szCs w:val="27"/>
          <w:lang w:eastAsia="it-IT"/>
        </w:rPr>
        <w:t>munito</w:t>
      </w:r>
      <w:r w:rsidRPr="00D703EA">
        <w:rPr>
          <w:rFonts w:eastAsia="Times New Roman" w:cs="Times New Roman"/>
          <w:b/>
          <w:bCs/>
          <w:color w:val="1C2024"/>
          <w:sz w:val="27"/>
          <w:szCs w:val="27"/>
          <w:lang w:eastAsia="it-IT"/>
        </w:rPr>
        <w:t xml:space="preserve"> di un documento d'identità valido</w:t>
      </w: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>, previo appuntamento concordato con l'Ufficio medesimo.</w:t>
      </w:r>
    </w:p>
    <w:p w:rsidR="00D748ED" w:rsidRPr="00685A87" w:rsidRDefault="00D703EA" w:rsidP="005A3D35">
      <w:pPr>
        <w:spacing w:after="203" w:line="240" w:lineRule="auto"/>
        <w:jc w:val="both"/>
        <w:rPr>
          <w:rFonts w:eastAsia="Times New Roman" w:cs="Times New Roman"/>
          <w:color w:val="1C2024"/>
          <w:sz w:val="27"/>
          <w:szCs w:val="27"/>
          <w:lang w:eastAsia="it-IT"/>
        </w:rPr>
      </w:pP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>Le disposizioni anticipate di trattamento devono contenere la dichiarazione de</w:t>
      </w:r>
      <w:r w:rsidR="00573F19">
        <w:rPr>
          <w:rFonts w:eastAsia="Times New Roman" w:cs="Times New Roman"/>
          <w:color w:val="1C2024"/>
          <w:sz w:val="27"/>
          <w:szCs w:val="27"/>
          <w:lang w:eastAsia="it-IT"/>
        </w:rPr>
        <w:t>l sottoscrittore</w:t>
      </w: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 xml:space="preserve"> in ordine alla rispettiva capacità di intendere e di volere e vanno sottoscritte in originale dal disponente e, per accettazione, dal fiduciario (se nominato)</w:t>
      </w:r>
      <w:r w:rsidR="00D748ED" w:rsidRPr="00685A87">
        <w:rPr>
          <w:rFonts w:eastAsia="Times New Roman" w:cs="Times New Roman"/>
          <w:color w:val="1C2024"/>
          <w:sz w:val="27"/>
          <w:szCs w:val="27"/>
          <w:lang w:eastAsia="it-IT"/>
        </w:rPr>
        <w:t xml:space="preserve"> che allega la sua carta di </w:t>
      </w:r>
      <w:proofErr w:type="spellStart"/>
      <w:r w:rsidR="00D748ED" w:rsidRPr="00685A87">
        <w:rPr>
          <w:rFonts w:eastAsia="Times New Roman" w:cs="Times New Roman"/>
          <w:color w:val="1C2024"/>
          <w:sz w:val="27"/>
          <w:szCs w:val="27"/>
          <w:lang w:eastAsia="it-IT"/>
        </w:rPr>
        <w:t>identita’</w:t>
      </w:r>
      <w:proofErr w:type="spellEnd"/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 xml:space="preserve">. </w:t>
      </w:r>
      <w:r w:rsidR="00D748ED" w:rsidRPr="00685A87">
        <w:rPr>
          <w:rFonts w:eastAsia="Times New Roman" w:cs="Times New Roman"/>
          <w:color w:val="1C2024"/>
          <w:sz w:val="27"/>
          <w:szCs w:val="27"/>
          <w:lang w:eastAsia="it-IT"/>
        </w:rPr>
        <w:t>Al momento del deposito pres</w:t>
      </w:r>
      <w:r w:rsidR="00573F19">
        <w:rPr>
          <w:rFonts w:eastAsia="Times New Roman" w:cs="Times New Roman"/>
          <w:color w:val="1C2024"/>
          <w:sz w:val="27"/>
          <w:szCs w:val="27"/>
          <w:lang w:eastAsia="it-IT"/>
        </w:rPr>
        <w:t>s</w:t>
      </w:r>
      <w:r w:rsidR="00D748ED" w:rsidRPr="00685A87">
        <w:rPr>
          <w:rFonts w:eastAsia="Times New Roman" w:cs="Times New Roman"/>
          <w:color w:val="1C2024"/>
          <w:sz w:val="27"/>
          <w:szCs w:val="27"/>
          <w:lang w:eastAsia="it-IT"/>
        </w:rPr>
        <w:t xml:space="preserve">o il Comune delle DAT, la presenza del fiduciario non </w:t>
      </w:r>
      <w:proofErr w:type="spellStart"/>
      <w:r w:rsidR="00D748ED" w:rsidRPr="00685A87">
        <w:rPr>
          <w:rFonts w:eastAsia="Times New Roman" w:cs="Times New Roman"/>
          <w:color w:val="1C2024"/>
          <w:sz w:val="27"/>
          <w:szCs w:val="27"/>
          <w:lang w:eastAsia="it-IT"/>
        </w:rPr>
        <w:t>e’</w:t>
      </w:r>
      <w:proofErr w:type="spellEnd"/>
      <w:r w:rsidR="00D748ED" w:rsidRPr="00685A87">
        <w:rPr>
          <w:rFonts w:eastAsia="Times New Roman" w:cs="Times New Roman"/>
          <w:color w:val="1C2024"/>
          <w:sz w:val="27"/>
          <w:szCs w:val="27"/>
          <w:lang w:eastAsia="it-IT"/>
        </w:rPr>
        <w:t xml:space="preserve"> </w:t>
      </w:r>
      <w:r w:rsidR="00573F19">
        <w:rPr>
          <w:rFonts w:eastAsia="Times New Roman" w:cs="Times New Roman"/>
          <w:color w:val="1C2024"/>
          <w:sz w:val="27"/>
          <w:szCs w:val="27"/>
          <w:lang w:eastAsia="it-IT"/>
        </w:rPr>
        <w:t>necessaria.</w:t>
      </w:r>
    </w:p>
    <w:p w:rsidR="00D703EA" w:rsidRPr="00D703EA" w:rsidRDefault="00D703EA" w:rsidP="005A3D35">
      <w:pPr>
        <w:spacing w:after="203" w:line="240" w:lineRule="auto"/>
        <w:jc w:val="both"/>
        <w:rPr>
          <w:rFonts w:eastAsia="Times New Roman" w:cs="Times New Roman"/>
          <w:color w:val="1C2024"/>
          <w:sz w:val="27"/>
          <w:szCs w:val="27"/>
          <w:lang w:eastAsia="it-IT"/>
        </w:rPr>
      </w:pP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>L'Ufficiale di Stato Civile non partecipa alla redazione né fornisce informazioni o avvisi in merito al contenuto della stessa ma si limita a verificare i presupposti della consegna con particolare riguardo all'identità e alla residenza del disponente nel comune</w:t>
      </w:r>
      <w:r w:rsidR="00573F19">
        <w:rPr>
          <w:rFonts w:eastAsia="Times New Roman" w:cs="Times New Roman"/>
          <w:color w:val="1C2024"/>
          <w:sz w:val="27"/>
          <w:szCs w:val="27"/>
          <w:lang w:eastAsia="it-IT"/>
        </w:rPr>
        <w:t>.</w:t>
      </w:r>
    </w:p>
    <w:p w:rsidR="00D703EA" w:rsidRPr="00D703EA" w:rsidRDefault="00D703EA" w:rsidP="005A3D35">
      <w:pPr>
        <w:spacing w:after="203" w:line="240" w:lineRule="auto"/>
        <w:jc w:val="both"/>
        <w:rPr>
          <w:rFonts w:eastAsia="Times New Roman" w:cs="Times New Roman"/>
          <w:color w:val="1C2024"/>
          <w:sz w:val="27"/>
          <w:szCs w:val="27"/>
          <w:lang w:eastAsia="it-IT"/>
        </w:rPr>
      </w:pP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 xml:space="preserve">All'atto della ricezione l'Ufficiale di Stato Civile dà corso alle necessarie </w:t>
      </w:r>
      <w:r w:rsidR="00C57DF1">
        <w:rPr>
          <w:rFonts w:eastAsia="Times New Roman" w:cs="Times New Roman"/>
          <w:color w:val="1C2024"/>
          <w:sz w:val="27"/>
          <w:szCs w:val="27"/>
          <w:lang w:eastAsia="it-IT"/>
        </w:rPr>
        <w:t>registrazioni  e</w:t>
      </w: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 xml:space="preserve"> rilascia ricevuta riportando il numero progressivo assegnato nonché giorno ed ora di consegna.</w:t>
      </w:r>
    </w:p>
    <w:p w:rsidR="00D703EA" w:rsidRPr="00D703EA" w:rsidRDefault="00D703EA" w:rsidP="005A3D35">
      <w:pPr>
        <w:spacing w:after="203" w:line="240" w:lineRule="auto"/>
        <w:jc w:val="both"/>
        <w:rPr>
          <w:rFonts w:eastAsia="Times New Roman" w:cs="Times New Roman"/>
          <w:color w:val="1C2024"/>
          <w:sz w:val="27"/>
          <w:szCs w:val="27"/>
          <w:lang w:eastAsia="it-IT"/>
        </w:rPr>
      </w:pP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 xml:space="preserve">Con analoghe modalità si ricevono eventuali atti successivi, quali </w:t>
      </w:r>
      <w:r w:rsidRPr="00D703EA">
        <w:rPr>
          <w:rFonts w:eastAsia="Times New Roman" w:cs="Times New Roman"/>
          <w:b/>
          <w:bCs/>
          <w:color w:val="1C2024"/>
          <w:sz w:val="27"/>
          <w:szCs w:val="27"/>
          <w:lang w:eastAsia="it-IT"/>
        </w:rPr>
        <w:t xml:space="preserve">revoca o modifica </w:t>
      </w: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>delle disposizioni presentate, nomina o revoca del fiduciario, rinuncia da parte di quest'ultimo.</w:t>
      </w:r>
    </w:p>
    <w:p w:rsidR="00D703EA" w:rsidRPr="00685A87" w:rsidRDefault="00D703EA" w:rsidP="00D703EA">
      <w:pPr>
        <w:spacing w:after="203" w:line="240" w:lineRule="auto"/>
        <w:rPr>
          <w:rFonts w:eastAsia="Times New Roman" w:cs="Times New Roman"/>
          <w:color w:val="1C2024"/>
          <w:sz w:val="27"/>
          <w:szCs w:val="27"/>
          <w:lang w:eastAsia="it-IT"/>
        </w:rPr>
      </w:pP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>Per gli iscritti al registro, il venir meno della condizion</w:t>
      </w:r>
      <w:r w:rsidR="00C57DF1">
        <w:rPr>
          <w:rFonts w:eastAsia="Times New Roman" w:cs="Times New Roman"/>
          <w:color w:val="1C2024"/>
          <w:sz w:val="27"/>
          <w:szCs w:val="27"/>
          <w:lang w:eastAsia="it-IT"/>
        </w:rPr>
        <w:t>e</w:t>
      </w:r>
      <w:r w:rsidRPr="00D703EA">
        <w:rPr>
          <w:rFonts w:eastAsia="Times New Roman" w:cs="Times New Roman"/>
          <w:color w:val="1C2024"/>
          <w:sz w:val="27"/>
          <w:szCs w:val="27"/>
          <w:lang w:eastAsia="it-IT"/>
        </w:rPr>
        <w:t xml:space="preserve"> di residente non comporta la cancellazione dal registro medesimo.</w:t>
      </w:r>
      <w:bookmarkStart w:id="0" w:name="_GoBack"/>
      <w:bookmarkEnd w:id="0"/>
    </w:p>
    <w:sectPr w:rsidR="00D703EA" w:rsidRPr="00685A87" w:rsidSect="00C57DF1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6F"/>
    <w:rsid w:val="002315CC"/>
    <w:rsid w:val="0031218B"/>
    <w:rsid w:val="003D4563"/>
    <w:rsid w:val="004129A4"/>
    <w:rsid w:val="004B2D88"/>
    <w:rsid w:val="00573F19"/>
    <w:rsid w:val="005965FF"/>
    <w:rsid w:val="005A3D35"/>
    <w:rsid w:val="005C5003"/>
    <w:rsid w:val="005F7741"/>
    <w:rsid w:val="00685A87"/>
    <w:rsid w:val="00757CE9"/>
    <w:rsid w:val="008A3534"/>
    <w:rsid w:val="008B4089"/>
    <w:rsid w:val="00953E35"/>
    <w:rsid w:val="00A031D7"/>
    <w:rsid w:val="00B55F14"/>
    <w:rsid w:val="00C57DF1"/>
    <w:rsid w:val="00D703EA"/>
    <w:rsid w:val="00D748ED"/>
    <w:rsid w:val="00D83737"/>
    <w:rsid w:val="00D85A9A"/>
    <w:rsid w:val="00DD0D6F"/>
    <w:rsid w:val="00EC0789"/>
    <w:rsid w:val="00F52510"/>
    <w:rsid w:val="00F8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94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1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6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une.piacenza.it/comune/uffici/servizi-al-cittadino/u.o.-servizi-demografici-statistici/ufficio-stato-civi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comune.piacenza.it/comune/anagrafe-e-stato-civile/testamento-biologico/disposizioni-anticipate-di-trattamento/image/image_view_fullscre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Nani</dc:creator>
  <cp:lastModifiedBy>Ivana Nani</cp:lastModifiedBy>
  <cp:revision>3</cp:revision>
  <dcterms:created xsi:type="dcterms:W3CDTF">2019-02-08T10:05:00Z</dcterms:created>
  <dcterms:modified xsi:type="dcterms:W3CDTF">2019-02-08T10:31:00Z</dcterms:modified>
</cp:coreProperties>
</file>